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r w:rsidRPr="00000000" w:rsidR="00000000" w:rsidDel="00000000">
        <w:rPr>
          <w:highlight w:val="none"/>
          <w:rtl w:val="0"/>
        </w:rPr>
        <w:t xml:space="preserve">Manuel d'installation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r:id="rId5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  PROJET : PRÉSENTATION GÉNÉRALE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6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1.1  DÉPLOIEMENT DE L’APPLICATION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7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1.2. ORIGINE DE L’APPLICATION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8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1.3  ASPECT GENERAL DE L’APPLICATION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r:id="rId9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 PRÉSENTATION DE LA PARTIE 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0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2.1. CONNEXION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1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2.2. LE MENU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2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2.3. REMPLIR UN NOUVEAU FORMULAIRE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3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2.4. MISE A JOUR D’UN FORMULAIRE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r:id="rId14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2.5. SUPPRESSION D’UN FORMULAIRE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highlight w:val="none"/>
          <w:rtl w:val="0"/>
        </w:rPr>
        <w:t xml:space="preserve">1.  PROJET : PRÉSENTATION GÉNÉRALE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1.1  DÉPLOIEMENT DE L’APPLICATION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sz w:val="28"/>
          <w:highlight w:val="none"/>
          <w:u w:val="single"/>
          <w:rtl w:val="0"/>
        </w:rPr>
        <w:t xml:space="preserve">Etape 1 : Installer l’application sur la tablette: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Connecter votre tablette sur un ordinateur via un port USB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Copier l’application .apk qui est fournie sur la tablette.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Déconnecter la Tablette.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Sélectionné le fichier .apk sur la tablette.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highlight w:val="none"/>
          <w:rtl w:val="0"/>
        </w:rPr>
        <w:t xml:space="preserve">- L’installation se lance, à la fin de celle-ci l'icône de l’application sera disponible dans le menu. Il  suffira ensuite de sélectionner l'icône de l’application pour la lancer.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1200150</wp:posOffset>
            </wp:positionH>
            <wp:positionV relativeFrom="paragraph">
              <wp:posOffset>123825</wp:posOffset>
            </wp:positionV>
            <wp:extent cy="800100" cx="952500"/>
            <wp:wrapSquare wrapText="bothSides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800100" cx="9525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b w:val="1"/>
          <w:color w:val="ff0000"/>
          <w:sz w:val="28"/>
          <w:highlight w:val="none"/>
          <w:rtl w:val="0"/>
        </w:rPr>
        <w:t xml:space="preserve">!!! Attention !!! :</w:t>
      </w:r>
      <w:r w:rsidRPr="00000000" w:rsidR="00000000" w:rsidDel="00000000">
        <w:rPr>
          <w:b w:val="1"/>
          <w:highlight w:val="none"/>
          <w:rtl w:val="0"/>
        </w:rPr>
        <w:t xml:space="preserve"> </w:t>
      </w:r>
      <w:r w:rsidRPr="00000000" w:rsidR="00000000" w:rsidDel="00000000">
        <w:rPr>
          <w:b w:val="1"/>
          <w:sz w:val="24"/>
          <w:highlight w:val="none"/>
          <w:rtl w:val="0"/>
        </w:rPr>
        <w:t xml:space="preserve">Il faut une connexion Internet pour assurer le bon fonctionnement de l’application.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b w:val="1"/>
          <w:sz w:val="28"/>
          <w:highlight w:val="none"/>
          <w:u w:val="single"/>
          <w:rtl w:val="0"/>
        </w:rPr>
        <w:t xml:space="preserve">Etape 2 : Avoir un serveur 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Obtenir un serveur.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highlight w:val="none"/>
          <w:rtl w:val="0"/>
        </w:rPr>
        <w:t xml:space="preserve">- Installer</w:t>
      </w:r>
      <w:r w:rsidRPr="00000000" w:rsidR="00000000" w:rsidDel="00000000">
        <w:rPr>
          <w:highlight w:val="none"/>
          <w:rtl w:val="0"/>
        </w:rPr>
        <w:t xml:space="preserve"> PHPMyAdmin sur le serveur grâce à ce lien </w:t>
      </w:r>
      <w:hyperlink r:id="rId16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http://www.phpmyadmin.net/home_page/downloads.php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highlight w:val="none"/>
          <w:rtl w:val="0"/>
        </w:rPr>
        <w:t xml:space="preserve">- Vérifier que votre serveur est capable d’exécuter des requêtes HTTP POST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b w:val="1"/>
          <w:sz w:val="28"/>
          <w:highlight w:val="none"/>
          <w:u w:val="single"/>
          <w:rtl w:val="0"/>
        </w:rPr>
        <w:t xml:space="preserve">Etape 3 : Exécuter le script 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highlight w:val="none"/>
          <w:rtl w:val="0"/>
        </w:rPr>
        <w:t xml:space="preserve">Exécuter le script </w:t>
      </w:r>
      <w:r w:rsidRPr="00000000" w:rsidR="00000000" w:rsidDel="00000000">
        <w:rPr>
          <w:highlight w:val="none"/>
          <w:rtl w:val="0"/>
        </w:rPr>
        <w:t xml:space="preserve">SQL fourni avec l’application dans la partie PHPmyAdmin du serveur. Ce script permettra de créer la structure de la base de données.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1.2. ORIGINE DE L’APPLICATION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Cette application à été commandée par l’association PARTAGE pour faciliter et informatiser les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inscriptions des demandeurs d’emploi sur tablette tactile. PARTAGE est une association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intermédiaire née en avril 1986. Elle a pour objectifs de favoriser l’insertion professionnelle des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demandeurs d’emploi, en les mettant à disposition chez des particuliers ou en entreprise tout en bénéficiant d’accompagnements personnalisés tout au long de leur parcours dans l’association.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1.3  ASPECT GENERAL DE </w:t>
      </w:r>
      <w:r w:rsidRPr="00000000" w:rsidR="00000000" w:rsidDel="00000000">
        <w:rPr>
          <w:highlight w:val="none"/>
          <w:rtl w:val="0"/>
        </w:rPr>
        <w:t xml:space="preserve">L’APPLICATION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L’application est destinée aux membres de l’association PARTAGE, elle se divise en plusieurs sous parties, à savoir: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highlight w:val="none"/>
          <w:rtl w:val="0"/>
        </w:rPr>
        <w:t xml:space="preserve">- La page d'accueil (Authentification)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highlight w:val="none"/>
          <w:rtl w:val="0"/>
        </w:rPr>
        <w:t xml:space="preserve">- La page du menu permettant d’accéder aux différentes rubriques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highlight w:val="none"/>
          <w:rtl w:val="0"/>
        </w:rPr>
        <w:t xml:space="preserve">- Les rubriques (Modification, Ajout, Suppression...)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highlight w:val="none"/>
          <w:rtl w:val="0"/>
        </w:rPr>
        <w:t xml:space="preserve">2. PRÉSENTATION DE LA PARTIE CLIENT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2.1. CONNEXION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Lors du démarrage de l’application, on est automatiquement dirigé vers la page d’authentification. Le mot de passe sera prédéfini lors de la configuration de l’application.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649605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4152900" cx="6496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2.2. LE MENU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Une fois authentifié, vous vous trouverez sur le menu principal qui vous permettra d’accéder à différents choix.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6467475"/>
            <wp:docPr id="6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4152900" cx="6467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2.3. REMPLIR UN NOUVEAU FORMULAIRE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Pour pouvoir remplir un nouveau formulaire, la première étape consiste à sélectionner “Nouveau dossier” dans la liste affichée à l’écran.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Cette option permet d’accéder au formulaire en lui même que vous pourrez remplir simplement en complétant les espaces prévus à cet effet.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6505575"/>
            <wp:docPr id="4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4152900" cx="6505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2.4. MISE A JOUR D’UN FORMULAIRE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Si vous souhaitez modifier un formulaire, l’option à sélectionner est “Modifier un dossier existant”. Cette option permet d'accéder à la modification du formulaire d’une personne déjà dans la base de données.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611505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4152900" cx="6115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A noter que vous pourrez choisir la personne dont vous souhaitez modifier le formulaire dans une liste déroulante.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6429375"/>
            <wp:docPr id="5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4152900" cx="6429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highlight w:val="none"/>
          <w:rtl w:val="0"/>
        </w:rPr>
        <w:t xml:space="preserve">2.5. SUPPRESSION D’UN FORMULAIRE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La méthode de suppression reprend le même principe que la méthode de modification, à savoir le choix de la personne dans une liste déroulante après avoir sélectionné au préalable “Supprimer un dossier”.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52900" cx="7620000"/>
            <wp:docPr id="3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41529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9"/><Relationship Target="media/image01.jpg" Type="http://schemas.openxmlformats.org/officeDocument/2006/relationships/image" Id="rId18"/><Relationship Target="media/image00.jpg" Type="http://schemas.openxmlformats.org/officeDocument/2006/relationships/image" Id="rId17"/><Relationship Target="http://www.phpmyadmin.net/home_page/downloads.php" Type="http://schemas.openxmlformats.org/officeDocument/2006/relationships/hyperlink" TargetMode="External" Id="rId16"/><Relationship Target="media/image06.png" Type="http://schemas.openxmlformats.org/officeDocument/2006/relationships/image" Id="rId15"/><Relationship Target="#h.3oucnysnyiyi" Type="http://schemas.openxmlformats.org/officeDocument/2006/relationships/hyperlink" TargetMode="External" Id="rId14"/><Relationship Target="media/image04.jpg" Type="http://schemas.openxmlformats.org/officeDocument/2006/relationships/image" Id="rId21"/><Relationship Target="fontTable.xml" Type="http://schemas.openxmlformats.org/officeDocument/2006/relationships/fontTable" Id="rId2"/><Relationship Target="#h.jsw5yxf51ug4" Type="http://schemas.openxmlformats.org/officeDocument/2006/relationships/hyperlink" TargetMode="External" Id="rId12"/><Relationship Target="media/image02.jpg" Type="http://schemas.openxmlformats.org/officeDocument/2006/relationships/image" Id="rId22"/><Relationship Target="settings.xml" Type="http://schemas.openxmlformats.org/officeDocument/2006/relationships/settings" Id="rId1"/><Relationship Target="#h.crz0w7ood52o" Type="http://schemas.openxmlformats.org/officeDocument/2006/relationships/hyperlink" TargetMode="External" Id="rId13"/><Relationship Target="styles.xml" Type="http://schemas.openxmlformats.org/officeDocument/2006/relationships/styles" Id="rId4"/><Relationship Target="#h.txogx9768fuz" Type="http://schemas.openxmlformats.org/officeDocument/2006/relationships/hyperlink" TargetMode="External" Id="rId10"/><Relationship Target="numbering.xml" Type="http://schemas.openxmlformats.org/officeDocument/2006/relationships/numbering" Id="rId3"/><Relationship Target="#h.jv8bnw6qdh93" Type="http://schemas.openxmlformats.org/officeDocument/2006/relationships/hyperlink" TargetMode="External" Id="rId11"/><Relationship Target="media/image05.jpg" Type="http://schemas.openxmlformats.org/officeDocument/2006/relationships/image" Id="rId20"/><Relationship Target="#h.13qd3w7dhf0d" Type="http://schemas.openxmlformats.org/officeDocument/2006/relationships/hyperlink" TargetMode="External" Id="rId9"/><Relationship Target="#h.wdskt9ypcoe7" Type="http://schemas.openxmlformats.org/officeDocument/2006/relationships/hyperlink" TargetMode="External" Id="rId6"/><Relationship Target="#h.k1b21a3bowm8" Type="http://schemas.openxmlformats.org/officeDocument/2006/relationships/hyperlink" TargetMode="External" Id="rId5"/><Relationship Target="#h.smjbpz4gdijf" Type="http://schemas.openxmlformats.org/officeDocument/2006/relationships/hyperlink" TargetMode="External" Id="rId8"/><Relationship Target="#h.vleucwsbggm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d'instalation.docx</dc:title>
</cp:coreProperties>
</file>