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120" w:before="0" w:line="276" w:lineRule="auto"/>
              <w:rPr>
                <w:rFonts w:ascii="Calibri" w:cs="Calibri" w:eastAsia="Calibri" w:hAnsi="Calibri"/>
                <w:color w:val="ffc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b4c6e7"/>
                <w:sz w:val="22"/>
                <w:szCs w:val="22"/>
                <w:rtl w:val="0"/>
              </w:rPr>
              <w:t xml:space="preserve">|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GUÍA 1</w:t>
            </w:r>
            <w:r w:rsidDel="00000000" w:rsidR="00000000" w:rsidRPr="00000000">
              <w:rPr>
                <w:rFonts w:ascii="Calibri" w:cs="Calibri" w:eastAsia="Calibri" w:hAnsi="Calibri"/>
                <w:color w:val="b4c6e7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120" w:before="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404040"/>
                <w:sz w:val="22"/>
                <w:szCs w:val="22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120" w:before="0" w:line="276" w:lineRule="auto"/>
              <w:rPr>
                <w:rFonts w:ascii="Calibri" w:cs="Calibri" w:eastAsia="Calibri" w:hAnsi="Calibri"/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heading=h.ebvdbgu2m25a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bookmarkStart w:colFirst="0" w:colLast="0" w:name="_heading=h.x0cm65lpzwqh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after="120" w:before="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120" w:before="0" w:line="276" w:lineRule="auto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120" w:before="0" w:line="276" w:lineRule="auto"/>
              <w:jc w:val="center"/>
              <w:rPr>
                <w:rFonts w:ascii="Calibri" w:cs="Calibri" w:eastAsia="Calibri" w:hAnsi="Calibri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120" w:before="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ffc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2106009980" name="image2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120" w:before="0" w:line="276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0" cy="12700"/>
                <wp:effectExtent b="0" l="0" r="0" t="0"/>
                <wp:wrapNone/>
                <wp:docPr id="2106009976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120" w:before="0" w:line="276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spacing w:after="12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spacing w:after="120" w:before="0" w:line="276" w:lineRule="auto"/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2106009982" name="image5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2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0" cy="12700"/>
                <wp:effectExtent b="0" l="0" r="0" t="0"/>
                <wp:wrapNone/>
                <wp:docPr id="210600997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120" w:before="0" w:line="276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spacing w:after="120" w:before="0" w:line="276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120" w:before="0" w:line="276" w:lineRule="auto"/>
              <w:rPr>
                <w:rFonts w:ascii="Calibri" w:cs="Calibri" w:eastAsia="Calibri" w:hAnsi="Calibri"/>
                <w:color w:val="ffc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2106009981" name="image4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120" w:before="0" w:line="276" w:lineRule="auto"/>
              <w:rPr>
                <w:rFonts w:ascii="Calibri" w:cs="Calibri" w:eastAsia="Calibri" w:hAnsi="Calibri"/>
                <w:color w:val="ffc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120" w:before="0" w:line="276" w:lineRule="auto"/>
              <w:rPr>
                <w:rFonts w:ascii="Calibri" w:cs="Calibri" w:eastAsia="Calibri" w:hAnsi="Calibri"/>
                <w:color w:val="ffc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20" w:before="0" w:line="276" w:lineRule="auto"/>
        <w:rPr>
          <w:rFonts w:ascii="Calibri" w:cs="Calibri" w:eastAsia="Calibri" w:hAnsi="Calibri"/>
          <w:b w:val="1"/>
          <w:bCs w:val="1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0" cy="12700"/>
                <wp:effectExtent b="0" l="0" r="0" t="0"/>
                <wp:wrapNone/>
                <wp:docPr id="2106009977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spacing w:after="120" w:before="0" w:line="276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="276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8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5.7351622263257"/>
        <w:gridCol w:w="1973.0662094434188"/>
        <w:gridCol w:w="1973.0662094434188"/>
        <w:gridCol w:w="1973.0662094434188"/>
        <w:gridCol w:w="1973.0662094434188"/>
        <w:tblGridChange w:id="0">
          <w:tblGrid>
            <w:gridCol w:w="945.7351622263257"/>
            <w:gridCol w:w="1973.0662094434188"/>
            <w:gridCol w:w="1973.0662094434188"/>
            <w:gridCol w:w="1973.0662094434188"/>
            <w:gridCol w:w="1973.0662094434188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120" w:before="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18.478.965-5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after="120" w:before="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20.790.256-K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D">
            <w:pPr>
              <w:spacing w:after="120" w:before="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20.814.270-4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E">
            <w:pPr>
              <w:spacing w:after="120" w:before="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17.556.179-K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Iván Javier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1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Antonio Elikura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2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Matías Ignacio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Sergio Matías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Carrasco Vásquez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6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Chihuailaf Cadin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Borquez Nuñez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Puebla Hauenstein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120" w:before="0" w:line="276" w:lineRule="auto"/>
              <w:rPr>
                <w:rFonts w:ascii="Calibri" w:cs="Calibri" w:eastAsia="Calibri" w:hAnsi="Calibri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QA/Testing/front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B">
            <w:pPr>
              <w:spacing w:after="120" w:before="0" w:line="276" w:lineRule="auto"/>
              <w:jc w:val="both"/>
              <w:rPr>
                <w:rFonts w:ascii="Calibri" w:cs="Calibri" w:eastAsia="Calibri" w:hAnsi="Calibri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DBA/ Analista Funcional/Lider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C">
            <w:pPr>
              <w:spacing w:after="120" w:before="0" w:line="276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Desarrollador 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D">
            <w:pPr>
              <w:spacing w:after="120" w:before="0" w:line="276" w:lineRule="auto"/>
              <w:jc w:val="both"/>
              <w:rPr>
                <w:rFonts w:ascii="Calibri" w:cs="Calibri" w:eastAsia="Calibri" w:hAnsi="Calibri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2"/>
                <w:szCs w:val="22"/>
                <w:rtl w:val="0"/>
              </w:rPr>
              <w:t xml:space="preserve">Back end/ Otros…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0" w:line="276" w:lineRule="auto"/>
        <w:rPr>
          <w:rFonts w:ascii="Calibri" w:cs="Calibri" w:eastAsia="Calibri" w:hAnsi="Calibri"/>
          <w:color w:val="5b9bd5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 la descripción debes señalar brevemente el nombre, descripción, objetivos y alcance del proyecto</w:t>
            </w:r>
          </w:p>
        </w:tc>
      </w:tr>
    </w:tbl>
    <w:p w:rsidR="00000000" w:rsidDel="00000000" w:rsidP="00000000" w:rsidRDefault="00000000" w:rsidRPr="00000000" w14:paraId="00000063">
      <w:pPr>
        <w:spacing w:after="120" w:before="0" w:line="276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7110"/>
        <w:tblGridChange w:id="0">
          <w:tblGrid>
            <w:gridCol w:w="1725"/>
            <w:gridCol w:w="71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FarmaCode: Comparador de Fármacos Bioequivalentes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FarmaCode es una aplicación móvil desarrollada para la plataforma de Android, cuyo propósito es facilitar el acceso a información farmacológica relevante para el consumidor chileno. La aplicación permite al usuario identificar el principio activo de un medicamento a través de dos modalidades de entrada: escaneo óptico de la caja mediante tecnología OCR (Optical Character Recognition) o el ingreso manual del nombre comercial del fármaco.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Los consumidores chilenos desconocen que los medicamentos de marca y sus bioequivalentes comparten el mismo principio activo, lo que los lleva a pagar precios hasta 20 veces mayores. Esta brecha de información afecta principalmente a adultos mayores y sectores vulnerables que destinan una parte significativa de sus ingresos a medicamentos de uso crónico.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Aplicación Android con escaneo OCR (Reconocimiento Óptico de Caracteres) de cajas de medicamentos e integración de IA para mapear nombres comerciales a principios activos, mostrando un listado comparativo de alternativas bioequivalentes ordenadas por precio.</w:t>
            </w:r>
          </w:p>
        </w:tc>
      </w:tr>
      <w:tr>
        <w:trPr>
          <w:cantSplit w:val="0"/>
          <w:trHeight w:val="805.4052734374998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Diseñar, desarrollar e implementar una aplicación móvil en plataforma Android que permita identificar medicamentos a partir de su nombre comercial mediante técnicas de reconocimiento óptico de caracteres (OCR) e integración con servicios de inteligencia artificial.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10"/>
              </w:numPr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Organizar el equipo de trabajo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, definiendo roles, responsabilidades y mecanismos de coordinación, con el fin de asegurar una adecuada gestión del proyecto durante todo su ciclo de desarrollo.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0"/>
              </w:numPr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Levantar y analizar los requerimientos del sistema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, estableciendo el alcance del proyecto, historias de usuario y criterios de aceptación que guiarán el desarrollo del software..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Diseñar la arquitectura y los componentes del sistema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, incluyendo la estructura de la aplicación móvil, el backend, la base de datos y la definición de interfaces de comunicación (API REST).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0"/>
              </w:numPr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Desarrollar e implementar la solución tecnológica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, integrando los módulos definidos (OCR, procesamiento mediante IA y visualización de datos) y realizando pruebas que validen su correcto funcionamiento.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La aplicación propuesta permitirá a los usuarios escanear y/o ingresar manualmente el nombre de un medicamento, con el objetivo de identificar su principio activo mediante el uso de la IA. A partir de esta información, la aplicación desplegará un listado de alternativas bioequivalentes en chile, junto a una comparación de precios que facilite la toma de decisiones informadas por parte del usuario. Tales como:</w:t>
              <w:br w:type="textWrapping"/>
              <w:t xml:space="preserve">1.- Tapsin</w:t>
            </w:r>
          </w:p>
          <w:p w:rsidR="00000000" w:rsidDel="00000000" w:rsidP="00000000" w:rsidRDefault="00000000" w:rsidRPr="00000000" w14:paraId="00000075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2.- Kitadol</w:t>
            </w:r>
          </w:p>
          <w:p w:rsidR="00000000" w:rsidDel="00000000" w:rsidP="00000000" w:rsidRDefault="00000000" w:rsidRPr="00000000" w14:paraId="00000076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3.- Paracetamol</w:t>
            </w:r>
          </w:p>
          <w:p w:rsidR="00000000" w:rsidDel="00000000" w:rsidP="00000000" w:rsidRDefault="00000000" w:rsidRPr="00000000" w14:paraId="00000077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4.- Clonazepam</w:t>
            </w:r>
          </w:p>
          <w:p w:rsidR="00000000" w:rsidDel="00000000" w:rsidP="00000000" w:rsidRDefault="00000000" w:rsidRPr="00000000" w14:paraId="00000078">
            <w:pPr>
              <w:spacing w:after="120" w:before="0" w:line="276" w:lineRule="auto"/>
              <w:ind w:left="0" w:firstLine="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5.- Tramadol</w:t>
            </w:r>
          </w:p>
          <w:p w:rsidR="00000000" w:rsidDel="00000000" w:rsidP="00000000" w:rsidRDefault="00000000" w:rsidRPr="00000000" w14:paraId="00000079">
            <w:pPr>
              <w:spacing w:after="120" w:before="0" w:line="276" w:lineRule="auto"/>
              <w:ind w:left="0" w:firstLine="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6.-Aspirina</w:t>
            </w:r>
          </w:p>
          <w:p w:rsidR="00000000" w:rsidDel="00000000" w:rsidP="00000000" w:rsidRDefault="00000000" w:rsidRPr="00000000" w14:paraId="0000007A">
            <w:pPr>
              <w:spacing w:after="120" w:before="0" w:line="276" w:lineRule="auto"/>
              <w:ind w:left="0" w:firstLine="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7.- Omeprazol</w:t>
            </w:r>
          </w:p>
          <w:p w:rsidR="00000000" w:rsidDel="00000000" w:rsidP="00000000" w:rsidRDefault="00000000" w:rsidRPr="00000000" w14:paraId="0000007B">
            <w:pPr>
              <w:spacing w:after="120" w:before="0" w:line="276" w:lineRule="auto"/>
              <w:ind w:left="0" w:firstLine="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8.- Ibuprofeno</w:t>
            </w:r>
          </w:p>
          <w:p w:rsidR="00000000" w:rsidDel="00000000" w:rsidP="00000000" w:rsidRDefault="00000000" w:rsidRPr="00000000" w14:paraId="0000007C">
            <w:pPr>
              <w:spacing w:after="120" w:before="0" w:line="276" w:lineRule="auto"/>
              <w:ind w:left="0" w:firstLine="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9.- Diclofenaco</w:t>
            </w:r>
          </w:p>
          <w:p w:rsidR="00000000" w:rsidDel="00000000" w:rsidP="00000000" w:rsidRDefault="00000000" w:rsidRPr="00000000" w14:paraId="0000007D">
            <w:pPr>
              <w:spacing w:after="120" w:before="0" w:line="276" w:lineRule="auto"/>
              <w:ind w:left="0" w:firstLine="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10.- Amoxicilina</w:t>
            </w:r>
          </w:p>
        </w:tc>
      </w:tr>
    </w:tbl>
    <w:p w:rsidR="00000000" w:rsidDel="00000000" w:rsidP="00000000" w:rsidRDefault="00000000" w:rsidRPr="00000000" w14:paraId="0000007E">
      <w:pPr>
        <w:spacing w:after="12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público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objetivo, estado del arte, origen de la problemática y descripción del 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problema a resolver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En Chile el gasto en medicamentos representa el 38% del gasto en salud de los hogares, afectando especialmente a adultos mayores y sectores vulnerables. La existencia de bioequivalentes con idéntica composición química a precios hasta un 2.000% menores es desconocida para gran parte de la población, motivando el desarrollo de una herramienta que cierre esa brecha de información.</w:t>
            </w:r>
          </w:p>
          <w:p w:rsidR="00000000" w:rsidDel="00000000" w:rsidP="00000000" w:rsidRDefault="00000000" w:rsidRPr="00000000" w14:paraId="00000083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Público objetivo: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Personas que adquieren medicamentos con receta médica, con énfasis en adultos mayores y sectores de ingresos medios y bajos que realizan compras frecuentes de medicamentos crónicos.</w:t>
            </w:r>
          </w:p>
          <w:p w:rsidR="00000000" w:rsidDel="00000000" w:rsidP="00000000" w:rsidRDefault="00000000" w:rsidRPr="00000000" w14:paraId="00000084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Estado del arte: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Existen soluciones parciales como TuFarmacia.gob.cl, el buscador del ISP y la app Remedia, pero ninguna resuelve el problema central: el usuario que solo conoce el nombre de marca de su receta y desconoce su principio activo. FarmaCode cubre esa brecha con OCR e IA.</w:t>
            </w:r>
          </w:p>
          <w:p w:rsidR="00000000" w:rsidDel="00000000" w:rsidP="00000000" w:rsidRDefault="00000000" w:rsidRPr="00000000" w14:paraId="00000085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Origen de la problemática: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La práctica médica de recetar por nombre de marca, sumado a la tendencia de los dependientes de farmacia de ofrecer el producto más caro, genera una asimetría de información que perjudica al consumidor.</w:t>
            </w:r>
          </w:p>
          <w:p w:rsidR="00000000" w:rsidDel="00000000" w:rsidP="00000000" w:rsidRDefault="00000000" w:rsidRPr="00000000" w14:paraId="00000086">
            <w:pPr>
              <w:spacing w:after="120" w:before="0" w:line="276" w:lineRule="auto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2f5496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Descripción del problema a resolver: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El usuario llega a la farmacia con un nombre comercial en su receta y adquiere ese producto sin saber que existen alternativas bioequivalentes certificadas a menor precio. La aplicación traduce automáticamente ese nombre comercial al principio activo y muestra las alternativas disponibles ordenadas por precio.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2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05.0" w:type="dxa"/>
        <w:jc w:val="left"/>
        <w:tblInd w:w="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rHeight w:val="435" w:hRule="atLeast"/>
          <w:tblHeader w:val="1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Metodología: Ágil (Scrum/Kanban)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8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0">
            <w:pPr>
              <w:tabs>
                <w:tab w:val="center" w:leader="none" w:pos="4419"/>
                <w:tab w:val="right" w:leader="none" w:pos="8838"/>
              </w:tabs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¿Por qué metodología ágil?</w:t>
            </w:r>
          </w:p>
          <w:p w:rsidR="00000000" w:rsidDel="00000000" w:rsidP="00000000" w:rsidRDefault="00000000" w:rsidRPr="00000000" w14:paraId="00000091">
            <w:pPr>
              <w:tabs>
                <w:tab w:val="center" w:leader="none" w:pos="4419"/>
                <w:tab w:val="right" w:leader="none" w:pos="8838"/>
              </w:tabs>
              <w:spacing w:after="240" w:before="240" w:line="276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Los métodos tradicionales (como Cascada) exigen definir todos los requerimientos desde el inicio y no contemplan cambios durante el desarrollo, lo que resulta riesgoso cuando los requisitos pueden evolucionar. La metodología ágil, en cambio, permite entregar valor de forma temprana y continua, incorporar cambios sin interrumpir el proyecto y mantener alineación constante entre el equipo técnico y los objetivos del negocio.</w:t>
            </w:r>
          </w:p>
          <w:p w:rsidR="00000000" w:rsidDel="00000000" w:rsidP="00000000" w:rsidRDefault="00000000" w:rsidRPr="00000000" w14:paraId="00000092">
            <w:pPr>
              <w:tabs>
                <w:tab w:val="center" w:leader="none" w:pos="4419"/>
                <w:tab w:val="right" w:leader="none" w:pos="8838"/>
              </w:tabs>
              <w:spacing w:after="240" w:before="240" w:line="276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En particular, este proyecto se beneficia del enfoque ágil por tres razones concretas: primero, los requerimientos pueden refinarse a medida que los usuarios interactúen con las primeras versiones del producto; segundo, la entrega de un MVP permite validar la solución con usuarios reales antes de invertir en el desarrollo completo; y tercero, los ciclos cortos de sprint reducen el riesgo de desarrollar funcionalidades que no aporten valor real.</w:t>
            </w:r>
          </w:p>
          <w:p w:rsidR="00000000" w:rsidDel="00000000" w:rsidP="00000000" w:rsidRDefault="00000000" w:rsidRPr="00000000" w14:paraId="00000093">
            <w:pPr>
              <w:tabs>
                <w:tab w:val="center" w:leader="none" w:pos="4419"/>
                <w:tab w:val="right" w:leader="none" w:pos="8838"/>
              </w:tabs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Etapas del proceso</w:t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7"/>
              </w:numPr>
              <w:tabs>
                <w:tab w:val="center" w:leader="none" w:pos="4419"/>
                <w:tab w:val="right" w:leader="none" w:pos="8838"/>
              </w:tabs>
              <w:spacing w:after="0" w:afterAutospacing="0" w:before="240" w:line="276" w:lineRule="auto"/>
              <w:ind w:left="720" w:hanging="360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Levantamiento de requerimientos y definición del MVP.</w:t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7"/>
              </w:numPr>
              <w:tabs>
                <w:tab w:val="center" w:leader="none" w:pos="4419"/>
                <w:tab w:val="right" w:leader="none" w:pos="8838"/>
              </w:tabs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Diseño de la solución: UX/UI, arquitectura y modelo de datos.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7"/>
              </w:numPr>
              <w:tabs>
                <w:tab w:val="center" w:leader="none" w:pos="4419"/>
                <w:tab w:val="right" w:leader="none" w:pos="8838"/>
              </w:tabs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Desarrollo iterativo por funcionalidades.</w:t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7"/>
              </w:numPr>
              <w:tabs>
                <w:tab w:val="center" w:leader="none" w:pos="4419"/>
                <w:tab w:val="right" w:leader="none" w:pos="8838"/>
              </w:tabs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Pruebas unitarias, de integración y validación funcional.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7"/>
              </w:numPr>
              <w:tabs>
                <w:tab w:val="center" w:leader="none" w:pos="4419"/>
                <w:tab w:val="right" w:leader="none" w:pos="8838"/>
              </w:tabs>
              <w:spacing w:after="0" w:afterAutospacing="0" w:before="0" w:beforeAutospacing="0" w:line="276" w:lineRule="auto"/>
              <w:ind w:left="720" w:hanging="360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Despliegue en entorno de pruebas y validación con stakeholders.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7"/>
              </w:numPr>
              <w:tabs>
                <w:tab w:val="center" w:leader="none" w:pos="4419"/>
                <w:tab w:val="right" w:leader="none" w:pos="8838"/>
              </w:tabs>
              <w:spacing w:after="240" w:before="0" w:beforeAutospacing="0" w:line="276" w:lineRule="auto"/>
              <w:ind w:left="720" w:hanging="360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Documentación técnica y cierre formal del proyecto.</w:t>
            </w:r>
          </w:p>
          <w:p w:rsidR="00000000" w:rsidDel="00000000" w:rsidP="00000000" w:rsidRDefault="00000000" w:rsidRPr="00000000" w14:paraId="0000009A">
            <w:pPr>
              <w:tabs>
                <w:tab w:val="center" w:leader="none" w:pos="4419"/>
                <w:tab w:val="right" w:leader="none" w:pos="8838"/>
              </w:tabs>
              <w:spacing w:after="240" w:before="240" w:line="276" w:lineRule="auto"/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Organización del equipo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6"/>
              </w:numPr>
              <w:tabs>
                <w:tab w:val="center" w:leader="none" w:pos="4419"/>
                <w:tab w:val="right" w:leader="none" w:pos="8838"/>
              </w:tabs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Líder / Analista funcional: gestión del proyecto, requerimientos y coordinación.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tabs>
                <w:tab w:val="center" w:leader="none" w:pos="4419"/>
                <w:tab w:val="right" w:leader="none" w:pos="8838"/>
              </w:tabs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Backend: API, lógica de negocio e integraciones.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tabs>
                <w:tab w:val="center" w:leader="none" w:pos="4419"/>
                <w:tab w:val="right" w:leader="none" w:pos="8838"/>
              </w:tabs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Frontend / QA: desarrollo Android, integración y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Arquitectura de software: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Arquitectura cliente-servidor en tres capas: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3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Cliente: aplicación Android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3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Backend: API REST en Spring Boot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3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Datos: base de datos MySQL</w:t>
            </w:r>
          </w:p>
          <w:p w:rsidR="00000000" w:rsidDel="00000000" w:rsidP="00000000" w:rsidRDefault="00000000" w:rsidRPr="00000000" w14:paraId="000000B3">
            <w:p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Infraestructura y despliegue: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5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Servidor local en desarrollo.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5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Despliegue backend en Railway o Render.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5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Base de datos MySQL en entorno cloud.</w:t>
              <w:br w:type="textWrapping"/>
              <w:t xml:space="preserve">Distribución de la app mediante APK (contexto académico).</w:t>
              <w:br w:type="textWrapping"/>
            </w:r>
          </w:p>
          <w:p w:rsidR="00000000" w:rsidDel="00000000" w:rsidP="00000000" w:rsidRDefault="00000000" w:rsidRPr="00000000" w14:paraId="000000B7">
            <w:p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Lenguajes de programación: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Kotlin — aplicación Android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Java — backend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SQL — base de datos</w:t>
            </w:r>
          </w:p>
          <w:p w:rsidR="00000000" w:rsidDel="00000000" w:rsidP="00000000" w:rsidRDefault="00000000" w:rsidRPr="00000000" w14:paraId="000000BB">
            <w:p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Frameworks, librerías y dependencias: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Android:</w:t>
            </w:r>
          </w:p>
          <w:p w:rsidR="00000000" w:rsidDel="00000000" w:rsidP="00000000" w:rsidRDefault="00000000" w:rsidRPr="00000000" w14:paraId="000000BD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CameraX</w:t>
            </w:r>
          </w:p>
          <w:p w:rsidR="00000000" w:rsidDel="00000000" w:rsidP="00000000" w:rsidRDefault="00000000" w:rsidRPr="00000000" w14:paraId="000000BE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Retrofit</w:t>
            </w:r>
          </w:p>
          <w:p w:rsidR="00000000" w:rsidDel="00000000" w:rsidP="00000000" w:rsidRDefault="00000000" w:rsidRPr="00000000" w14:paraId="000000BF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OkHttp</w:t>
            </w:r>
          </w:p>
          <w:p w:rsidR="00000000" w:rsidDel="00000000" w:rsidP="00000000" w:rsidRDefault="00000000" w:rsidRPr="00000000" w14:paraId="000000C0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Coil o Glide</w:t>
            </w:r>
          </w:p>
          <w:p w:rsidR="00000000" w:rsidDel="00000000" w:rsidP="00000000" w:rsidRDefault="00000000" w:rsidRPr="00000000" w14:paraId="000000C1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Material Components</w:t>
              <w:br w:type="textWrapping"/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Reconocimiento:</w:t>
            </w:r>
          </w:p>
          <w:p w:rsidR="00000000" w:rsidDel="00000000" w:rsidP="00000000" w:rsidRDefault="00000000" w:rsidRPr="00000000" w14:paraId="000000C3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ML Kit (OCR)</w:t>
              <w:br w:type="textWrapping"/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Backend:</w:t>
            </w:r>
          </w:p>
          <w:p w:rsidR="00000000" w:rsidDel="00000000" w:rsidP="00000000" w:rsidRDefault="00000000" w:rsidRPr="00000000" w14:paraId="000000C5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Spring Boot (Web, Validation)</w:t>
            </w:r>
          </w:p>
          <w:p w:rsidR="00000000" w:rsidDel="00000000" w:rsidP="00000000" w:rsidRDefault="00000000" w:rsidRPr="00000000" w14:paraId="000000C6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Spring Data JPA</w:t>
            </w:r>
          </w:p>
          <w:p w:rsidR="00000000" w:rsidDel="00000000" w:rsidP="00000000" w:rsidRDefault="00000000" w:rsidRPr="00000000" w14:paraId="000000C7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Spring Security (opcional)</w:t>
            </w:r>
          </w:p>
          <w:p w:rsidR="00000000" w:rsidDel="00000000" w:rsidP="00000000" w:rsidRDefault="00000000" w:rsidRPr="00000000" w14:paraId="000000C8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Lombok (opcional)</w:t>
              <w:br w:type="textWrapping"/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Integración IA:</w:t>
            </w:r>
          </w:p>
          <w:p w:rsidR="00000000" w:rsidDel="00000000" w:rsidP="00000000" w:rsidRDefault="00000000" w:rsidRPr="00000000" w14:paraId="000000CA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Claude API (Anthropic)</w:t>
              <w:br w:type="textWrapping"/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Testing:</w:t>
            </w:r>
          </w:p>
          <w:p w:rsidR="00000000" w:rsidDel="00000000" w:rsidP="00000000" w:rsidRDefault="00000000" w:rsidRPr="00000000" w14:paraId="000000CC">
            <w:pPr>
              <w:numPr>
                <w:ilvl w:val="1"/>
                <w:numId w:val="9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144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JUnit</w:t>
            </w:r>
          </w:p>
          <w:p w:rsidR="00000000" w:rsidDel="00000000" w:rsidP="00000000" w:rsidRDefault="00000000" w:rsidRPr="00000000" w14:paraId="000000CD">
            <w:p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Base de datos: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8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MySQL — almacenamiento de medicamentos, principios activos, bioequivalentes y precios.</w:t>
            </w:r>
          </w:p>
          <w:p w:rsidR="00000000" w:rsidDel="00000000" w:rsidP="00000000" w:rsidRDefault="00000000" w:rsidRPr="00000000" w14:paraId="000000CF">
            <w:p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Herramientas de desarrollo y soporte: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4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GitHub — control de versiones (ramas main/develop)</w:t>
            </w:r>
          </w:p>
          <w:p w:rsidR="00000000" w:rsidDel="00000000" w:rsidP="00000000" w:rsidRDefault="00000000" w:rsidRPr="00000000" w14:paraId="000000D1">
            <w:pPr>
              <w:numPr>
                <w:ilvl w:val="0"/>
                <w:numId w:val="4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Swagger / OpenAPI — documentación de API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4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Postman o Insomnia — pruebas de endpoints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4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Docker (opcional) — contenedorización de servicios</w:t>
            </w:r>
          </w:p>
          <w:p w:rsidR="00000000" w:rsidDel="00000000" w:rsidP="00000000" w:rsidRDefault="00000000" w:rsidRPr="00000000" w14:paraId="000000D4">
            <w:p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Notas de seguridad y responsabilidad: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1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La aplicación entrega información referencial.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1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No reemplaza indicaciones médicas.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Debe incluir advertencias visibles al usuario.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72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Se deben indicar fuentes de datos cuando corresponda.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05.0" w:type="dxa"/>
        <w:jc w:val="left"/>
        <w:tblInd w:w="3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05"/>
        <w:tblGridChange w:id="0">
          <w:tblGrid>
            <w:gridCol w:w="8805"/>
          </w:tblGrid>
        </w:tblGridChange>
      </w:tblGrid>
      <w:tr>
        <w:trPr>
          <w:cantSplit w:val="0"/>
          <w:trHeight w:val="471.91406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120"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Diagrama de flujo de FarmaCode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612130" cy="2908300"/>
            <wp:effectExtent b="0" l="0" r="0" t="0"/>
            <wp:docPr id="210600997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12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0335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35"/>
        <w:gridCol w:w="1710"/>
        <w:gridCol w:w="3690"/>
        <w:gridCol w:w="1080"/>
        <w:gridCol w:w="960"/>
        <w:gridCol w:w="1260"/>
        <w:tblGridChange w:id="0">
          <w:tblGrid>
            <w:gridCol w:w="1635"/>
            <w:gridCol w:w="1710"/>
            <w:gridCol w:w="3690"/>
            <w:gridCol w:w="1080"/>
            <w:gridCol w:w="960"/>
            <w:gridCol w:w="126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Fase 1 — Definición y Diseño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after="120" w:line="276" w:lineRule="auto"/>
              <w:jc w:val="righ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Levantamiento de requerimientos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Definir alcance MVP, historias de usuario y criterios de aceptación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Notion, reuniones de equipo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Scrum Master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after="120" w:line="276" w:lineRule="auto"/>
              <w:jc w:val="righ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 UX/UI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Wireframes y flujo de pantallas (captura → resultado → ficha), considerando accesibilidad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Figma, Android Studio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Android Lead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after="120" w:line="276" w:lineRule="auto"/>
              <w:jc w:val="righ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 de arquitectura y modelo de datos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Definir entidades (Medicamento, Principio Activo, Bioequivalente, Precio) y endpoints REST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MySQL, Swagger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DBA / Backend Lead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Fase 2 — Desarrollo Base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after="120" w:line="276" w:lineRule="auto"/>
              <w:jc w:val="righ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Implementación Backend base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Proyecto Spring Boot, JPA, migraciones, CRUD base y Swagger habilitado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IntelliJ, Spring Boot, MySQL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Backend Lead / DBA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after="120" w:line="276" w:lineRule="auto"/>
              <w:jc w:val="righ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Implementación App base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Proyecto Android, navegación entre pantallas, consumo de API y manejo de errores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Android Studio, Kotlin, Retrofit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Android Lead / QA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Fase 3 — Desarrollo Avanzado e Integración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after="120" w:line="276" w:lineRule="auto"/>
              <w:jc w:val="righ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Módulo de reconocimiento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Implementación OCR, lectura de texto desde imagen y búsqueda en API. Pruebas con distintos empaques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ML Kit, CameraX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Android Lead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after="120" w:line="276" w:lineRule="auto"/>
              <w:jc w:val="righ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Integración Claude API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Mapeo nombre comercial → principio activo mediante IA y retorno de resultados al frontend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Claude API, Spring Boot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Backend Lead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6"/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Fase 4 — Validación y Cierre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c9daf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after="120" w:line="276" w:lineRule="auto"/>
              <w:jc w:val="righ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Pruebas y QA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Pruebas unitarias e integración, checklist de validación y generación de evidencias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JUnit, Postman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QA / Todo el equipo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after="120" w:line="276" w:lineRule="auto"/>
              <w:jc w:val="righ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Bugfix y mejoras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Resolución de errores y mejoras en la aplicación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JUnit, Postman, Android Studio, Kotlin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QA / Todo el equipo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after="120" w:line="276" w:lineRule="auto"/>
              <w:jc w:val="righ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Documentación y entrega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de usuario, manual técnico, presentación final y video demostrativo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Docs, PDF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 semanas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after="12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Todo el equipo</w:t>
            </w:r>
          </w:p>
        </w:tc>
      </w:tr>
    </w:tbl>
    <w:p w:rsidR="00000000" w:rsidDel="00000000" w:rsidP="00000000" w:rsidRDefault="00000000" w:rsidRPr="00000000" w14:paraId="0000015A">
      <w:pPr>
        <w:spacing w:after="12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aw5fizslamk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heading=h.piamlhd1gdf2" w:id="3"/>
      <w:bookmarkEnd w:id="3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12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8.0" w:type="dxa"/>
        <w:jc w:val="left"/>
        <w:tblBorders>
          <w:top w:color="434343" w:space="0" w:sz="4" w:val="single"/>
          <w:left w:color="434343" w:space="0" w:sz="4" w:val="single"/>
          <w:bottom w:color="434343" w:space="0" w:sz="4" w:val="single"/>
          <w:right w:color="434343" w:space="0" w:sz="4" w:val="single"/>
          <w:insideH w:color="434343" w:space="0" w:sz="4" w:val="single"/>
          <w:insideV w:color="434343" w:space="0" w:sz="4" w:val="single"/>
        </w:tblBorders>
        <w:tblLayout w:type="fixed"/>
        <w:tblLook w:val="0600"/>
      </w:tblPr>
      <w:tblGrid>
        <w:gridCol w:w="607.0545454545455"/>
        <w:gridCol w:w="1745.2818181818182"/>
        <w:gridCol w:w="2307.7000000000003"/>
        <w:gridCol w:w="1879.1909090909094"/>
        <w:gridCol w:w="1035.5636363636363"/>
        <w:gridCol w:w="1263.209090909091"/>
        <w:tblGridChange w:id="0">
          <w:tblGrid>
            <w:gridCol w:w="607.0545454545455"/>
            <w:gridCol w:w="1745.2818181818182"/>
            <w:gridCol w:w="2307.7000000000003"/>
            <w:gridCol w:w="1879.1909090909094"/>
            <w:gridCol w:w="1035.5636363636363"/>
            <w:gridCol w:w="1263.20909090909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 asociada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12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Link repositorio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Planificación del proyecto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Cronograma, tareas, responsables y fechas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Levantamiento de requerimientos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.xlsx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Documento de requerimientos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Historias de usuario, alcance y criterios de aceptación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Levantamiento de requerimientos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.docx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 UX/UI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Wireframes, flujo de pantallas y consideraciones de accesibilidad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 UX/UI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.pdf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 técnico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Arquitectura de software, endpoints REST y modelo entidad-relación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 de arquitectura y modelo de datos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.docx / .pdf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Código fuente Backend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Proyecto Spring Boot con CRUD base, migraciones y Swagger habilitado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Implementación Backend base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GitHub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https://github.com/Anideout/FarmaCode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Código fuente App Android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Proyecto Android con navegación, pantallas y consumo de API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Implementación App base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GitHub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https://github.com/Anideout/FarmaCode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7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Demo módulo de reconocimiento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Video o capturas del OCR funcionando con distintos empaques de medicamentos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Módulo de reconocimiento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.pdf + video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8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Evidencia integración IA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Capturas y logs del mapeo nombre comercial → principio activo vía Claude API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Integración Claude API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.pdf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9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Evidencia de pruebas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Casos de prueba, resultados de JUnit y Postman, checklist de validación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Pruebas y QA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.xlsx / .pdf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10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de usuario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Instrucciones de uso de la aplicación dirigidas al usuario final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Documentación y entrega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.docx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11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Manual técnico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Instrucciones de despliegue, configuración y arquitectura del sistema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Documentación y entrega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.docx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Presentación final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Slides de presentación y defensa del proyecto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Presentación Final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.pdf / .pptx</w:t>
            </w:r>
          </w:p>
        </w:tc>
        <w:tc>
          <w:tcPr>
            <w:tcBorders>
              <w:top w:color="434343" w:space="0" w:sz="4" w:val="single"/>
              <w:left w:color="434343" w:space="0" w:sz="4" w:val="single"/>
              <w:bottom w:color="434343" w:space="0" w:sz="4" w:val="single"/>
              <w:right w:color="434343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1C1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pPr w:leftFromText="180" w:rightFromText="180" w:topFromText="180" w:bottomFromText="180" w:vertAnchor="text" w:horzAnchor="text" w:tblpX="-920.9999999999997" w:tblpY="0"/>
        <w:tblW w:w="108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05"/>
        <w:gridCol w:w="375"/>
        <w:gridCol w:w="420"/>
        <w:gridCol w:w="390"/>
        <w:gridCol w:w="435"/>
        <w:gridCol w:w="375"/>
        <w:gridCol w:w="360"/>
        <w:gridCol w:w="435"/>
        <w:gridCol w:w="420"/>
        <w:gridCol w:w="390"/>
        <w:gridCol w:w="480"/>
        <w:gridCol w:w="570"/>
        <w:gridCol w:w="555"/>
        <w:gridCol w:w="495"/>
        <w:gridCol w:w="480"/>
        <w:gridCol w:w="450"/>
        <w:gridCol w:w="510"/>
        <w:gridCol w:w="720"/>
        <w:gridCol w:w="795"/>
        <w:tblGridChange w:id="0">
          <w:tblGrid>
            <w:gridCol w:w="2205"/>
            <w:gridCol w:w="375"/>
            <w:gridCol w:w="420"/>
            <w:gridCol w:w="390"/>
            <w:gridCol w:w="435"/>
            <w:gridCol w:w="375"/>
            <w:gridCol w:w="360"/>
            <w:gridCol w:w="435"/>
            <w:gridCol w:w="420"/>
            <w:gridCol w:w="390"/>
            <w:gridCol w:w="480"/>
            <w:gridCol w:w="570"/>
            <w:gridCol w:w="555"/>
            <w:gridCol w:w="495"/>
            <w:gridCol w:w="480"/>
            <w:gridCol w:w="450"/>
            <w:gridCol w:w="510"/>
            <w:gridCol w:w="720"/>
            <w:gridCol w:w="7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2">
            <w:pPr>
              <w:spacing w:after="120" w:before="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6d7a8" w:space="0" w:sz="6" w:val="single"/>
              <w:right w:color="bfbfbf" w:space="0" w:sz="6" w:val="single"/>
            </w:tcBorders>
            <w:shd w:fill="38761d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6d7a8" w:space="0" w:sz="6" w:val="single"/>
              <w:right w:color="bfbfbf" w:space="0" w:sz="6" w:val="single"/>
            </w:tcBorders>
            <w:shd w:fill="bf9000" w:val="clear"/>
          </w:tcPr>
          <w:p w:rsidR="00000000" w:rsidDel="00000000" w:rsidP="00000000" w:rsidRDefault="00000000" w:rsidRPr="00000000" w14:paraId="000001C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6d7a8" w:space="0" w:sz="6" w:val="single"/>
              <w:right w:color="bfbfbf" w:space="0" w:sz="6" w:val="single"/>
            </w:tcBorders>
            <w:shd w:fill="54392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CF">
            <w:pPr>
              <w:spacing w:after="120" w:line="276" w:lineRule="auto"/>
              <w:jc w:val="center"/>
              <w:rPr>
                <w:rFonts w:ascii="Calibri" w:cs="Calibri" w:eastAsia="Calibri" w:hAnsi="Calibri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ce5cd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6d7a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5">
            <w:pPr>
              <w:widowControl w:val="0"/>
              <w:spacing w:after="120" w:before="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6d7a8" w:space="0" w:sz="6" w:val="single"/>
              <w:bottom w:color="b6d7a8" w:space="0" w:sz="6" w:val="single"/>
              <w:right w:color="b6d7a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6d7a8" w:space="0" w:sz="6" w:val="single"/>
              <w:bottom w:color="b6d7a8" w:space="0" w:sz="6" w:val="single"/>
              <w:right w:color="b6d7a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2</w:t>
            </w:r>
          </w:p>
        </w:tc>
        <w:tc>
          <w:tcPr>
            <w:tcBorders>
              <w:top w:color="b6d7a8" w:space="0" w:sz="6" w:val="single"/>
              <w:left w:color="b6d7a8" w:space="0" w:sz="6" w:val="single"/>
              <w:bottom w:color="b6d7a8" w:space="0" w:sz="6" w:val="single"/>
              <w:right w:color="9cc2e5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3</w:t>
            </w:r>
          </w:p>
        </w:tc>
        <w:tc>
          <w:tcPr>
            <w:tcBorders>
              <w:top w:color="9cc2e5" w:space="0" w:sz="6" w:val="single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shd w:fill="9cc2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4</w:t>
            </w:r>
          </w:p>
        </w:tc>
        <w:tc>
          <w:tcPr>
            <w:tcBorders>
              <w:top w:color="b6d7a8" w:space="0" w:sz="6" w:val="single"/>
              <w:left w:color="9cc2e5" w:space="0" w:sz="6" w:val="single"/>
              <w:bottom w:color="b6d7a8" w:space="0" w:sz="6" w:val="single"/>
              <w:right w:color="b6d7a8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5</w:t>
            </w:r>
          </w:p>
        </w:tc>
        <w:tc>
          <w:tcPr>
            <w:tcBorders>
              <w:top w:color="b6d7a8" w:space="0" w:sz="6" w:val="single"/>
              <w:left w:color="b6d7a8" w:space="0" w:sz="6" w:val="single"/>
              <w:bottom w:color="b6d7a8" w:space="0" w:sz="6" w:val="single"/>
              <w:right w:color="b6d7a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6</w:t>
            </w:r>
          </w:p>
        </w:tc>
        <w:tc>
          <w:tcPr>
            <w:tcBorders>
              <w:top w:color="b6d7a8" w:space="0" w:sz="6" w:val="single"/>
              <w:left w:color="b6d7a8" w:space="0" w:sz="6" w:val="single"/>
              <w:bottom w:color="b6d7a8" w:space="0" w:sz="6" w:val="single"/>
              <w:right w:color="b6d7a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7</w:t>
            </w:r>
          </w:p>
        </w:tc>
        <w:tc>
          <w:tcPr>
            <w:tcBorders>
              <w:top w:color="b6d7a8" w:space="0" w:sz="6" w:val="single"/>
              <w:left w:color="b6d7a8" w:space="0" w:sz="6" w:val="single"/>
              <w:bottom w:color="b6d7a8" w:space="0" w:sz="6" w:val="single"/>
              <w:right w:color="b6d7a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8</w:t>
            </w:r>
          </w:p>
        </w:tc>
        <w:tc>
          <w:tcPr>
            <w:tcBorders>
              <w:top w:color="b6d7a8" w:space="0" w:sz="6" w:val="single"/>
              <w:left w:color="b6d7a8" w:space="0" w:sz="6" w:val="single"/>
              <w:bottom w:color="b6d7a8" w:space="0" w:sz="6" w:val="single"/>
              <w:right w:color="9cc2e5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9</w:t>
            </w:r>
          </w:p>
        </w:tc>
        <w:tc>
          <w:tcPr>
            <w:tcBorders>
              <w:top w:color="9cc2e5" w:space="0" w:sz="6" w:val="single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D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10</w:t>
            </w:r>
          </w:p>
        </w:tc>
        <w:tc>
          <w:tcPr>
            <w:tcBorders>
              <w:top w:color="9cc2e5" w:space="0" w:sz="6" w:val="single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shd w:fill="9cc2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11</w:t>
            </w:r>
          </w:p>
        </w:tc>
        <w:tc>
          <w:tcPr>
            <w:tcBorders>
              <w:top w:color="b6d7a8" w:space="0" w:sz="6" w:val="single"/>
              <w:left w:color="9cc2e5" w:space="0" w:sz="6" w:val="single"/>
              <w:bottom w:color="b6d7a8" w:space="0" w:sz="6" w:val="single"/>
              <w:right w:color="b6d7a8" w:space="0" w:sz="6" w:val="single"/>
            </w:tcBorders>
            <w:shd w:fill="9cc2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12</w:t>
            </w:r>
          </w:p>
        </w:tc>
        <w:tc>
          <w:tcPr>
            <w:tcBorders>
              <w:top w:color="b6d7a8" w:space="0" w:sz="6" w:val="single"/>
              <w:left w:color="b6d7a8" w:space="0" w:sz="6" w:val="single"/>
              <w:bottom w:color="b6d7a8" w:space="0" w:sz="6" w:val="single"/>
              <w:right w:color="b6d7a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13</w:t>
            </w:r>
          </w:p>
        </w:tc>
        <w:tc>
          <w:tcPr>
            <w:tcBorders>
              <w:top w:color="b6d7a8" w:space="0" w:sz="6" w:val="single"/>
              <w:left w:color="b6d7a8" w:space="0" w:sz="6" w:val="single"/>
              <w:bottom w:color="b6d7a8" w:space="0" w:sz="6" w:val="single"/>
              <w:right w:color="9cc2e5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14</w:t>
            </w:r>
          </w:p>
        </w:tc>
        <w:tc>
          <w:tcPr>
            <w:tcBorders>
              <w:top w:color="9cc2e5" w:space="0" w:sz="6" w:val="single"/>
              <w:left w:color="9cc2e5" w:space="0" w:sz="6" w:val="single"/>
              <w:bottom w:color="9cc2e5" w:space="0" w:sz="6" w:val="single"/>
              <w:right w:color="9cc2e5" w:space="0" w:sz="6" w:val="single"/>
            </w:tcBorders>
            <w:shd w:fill="9cc2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15</w:t>
            </w:r>
          </w:p>
        </w:tc>
        <w:tc>
          <w:tcPr>
            <w:tcBorders>
              <w:top w:color="b6d7a8" w:space="0" w:sz="6" w:val="single"/>
              <w:left w:color="9cc2e5" w:space="0" w:sz="6" w:val="single"/>
              <w:bottom w:color="b6d7a8" w:space="0" w:sz="6" w:val="single"/>
              <w:right w:color="b6d7a8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16</w:t>
            </w:r>
          </w:p>
        </w:tc>
        <w:tc>
          <w:tcPr>
            <w:tcBorders>
              <w:top w:color="bfbfbf" w:space="0" w:sz="6" w:val="single"/>
              <w:left w:color="b6d7a8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</w:t>
              <w:br w:type="textWrapping"/>
              <w:t xml:space="preserve">17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 </w:t>
              <w:br w:type="textWrapping"/>
              <w:t xml:space="preserve">18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8">
            <w:pPr>
              <w:spacing w:after="120" w:line="276" w:lineRule="auto"/>
              <w:jc w:val="both"/>
              <w:rPr>
                <w:rFonts w:ascii="Calibri" w:cs="Calibri" w:eastAsia="Calibri" w:hAnsi="Calibri"/>
                <w:color w:val="548dd4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Levantamiento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9cc2e5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E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2e5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2e5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cc2e5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6d7a8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B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 UX/UI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F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E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Presentación 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0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2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1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1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Diseño de arquitectura y modelo de datos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2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4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Implementación Backend base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3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7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Implementación App base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D">
            <w:pPr>
              <w:spacing w:after="120" w:before="0" w:line="276" w:lineRule="auto"/>
              <w:jc w:val="left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4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A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Módulo de reconocimiento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5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D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Integración Claude API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6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7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0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Presentación 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2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2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8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3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Pruebas y QA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9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6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Bugfix y mejoras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A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9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Presentación 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B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2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C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Documentación y entrega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C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DF">
            <w:pPr>
              <w:spacing w:after="120"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Examen Transversal Final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E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2">
            <w:pPr>
              <w:spacing w:after="120"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Sprint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06666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06666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06666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5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06666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6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cc412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7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cc412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8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cc412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9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cc412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A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8e7cc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B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8e7cc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C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8e7cc3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D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c27ba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E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c27ba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2FF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c27ba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0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d966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1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d966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2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d966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3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d966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304">
            <w:pPr>
              <w:spacing w:after="120" w:before="0"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305">
      <w:pPr>
        <w:spacing w:after="12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before="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El proyecto se desarrolla entre marzo y julio, organizado en cuatro fases que coinciden con los hitos de entrega de la asignatura.</w:t>
        <w:br w:type="textWrapping"/>
      </w: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120" w:before="0" w:line="276" w:lineRule="auto"/>
              <w:rPr>
                <w:rFonts w:ascii="Calibri" w:cs="Calibri" w:eastAsia="Calibri" w:hAnsi="Calibri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12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El proyecto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FarmaCode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surge como una iniciativa académica orientada a aplicar conocimientos de desarrollo de software en la resolución de una problemática real del sistema de salud chileno: la falta de información accesible para los consumidores respecto a medicamentos bioequivalentes.</w:t>
            </w:r>
          </w:p>
          <w:p w:rsidR="00000000" w:rsidDel="00000000" w:rsidP="00000000" w:rsidRDefault="00000000" w:rsidRPr="00000000" w14:paraId="0000030A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En Chile, diversas instituciones públicas como 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Instituto de Salud Pública de Chile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han impulsado la certificación de medicamentos bioequivalentes con el objetivo de asegurar que estos poseen la misma calidad, seguridad y eficacia terapéutica que los medicamentos de marca. Sin embargo, pese a esta regulación, gran parte de la población continúa desconociendo esta información o no sabe cómo acceder a ella de manera simple.</w:t>
            </w:r>
          </w:p>
          <w:p w:rsidR="00000000" w:rsidDel="00000000" w:rsidP="00000000" w:rsidRDefault="00000000" w:rsidRPr="00000000" w14:paraId="0000030B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La existencia de plataformas informativas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TuFarmacia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del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Ministerio de Salud de Chile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representa un avance en la transparencia de precios de medicamentos. No obstante, estas herramientas requieren que el usuario conozca previamente el nombre del medicamento o el principio activo, lo que limita su utilidad cuando la persona solo dispone del nombre comercial indicado en una receta médica.</w:t>
            </w:r>
          </w:p>
          <w:p w:rsidR="00000000" w:rsidDel="00000000" w:rsidP="00000000" w:rsidRDefault="00000000" w:rsidRPr="00000000" w14:paraId="0000030C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El presente proyecto busca complementar este tipo de iniciativas mediante el uso de tecnologías modernas como:</w:t>
            </w:r>
          </w:p>
          <w:p w:rsidR="00000000" w:rsidDel="00000000" w:rsidP="00000000" w:rsidRDefault="00000000" w:rsidRPr="00000000" w14:paraId="0000030D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Reconocimiento óptico de caracteres (OCR)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para capturar información directamente desde el envase del medicamento.</w:t>
            </w:r>
          </w:p>
          <w:p w:rsidR="00000000" w:rsidDel="00000000" w:rsidP="00000000" w:rsidRDefault="00000000" w:rsidRPr="00000000" w14:paraId="0000030E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Procesamiento mediante inteligencia artificial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para asociar nombres comerciales con su principio activo.</w:t>
            </w:r>
          </w:p>
          <w:p w:rsidR="00000000" w:rsidDel="00000000" w:rsidP="00000000" w:rsidRDefault="00000000" w:rsidRPr="00000000" w14:paraId="0000030F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Aplicaciones móviles Android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para facilitar el acceso inmediato a la información durante el proceso de compra en farmacias.</w:t>
            </w:r>
          </w:p>
          <w:p w:rsidR="00000000" w:rsidDel="00000000" w:rsidP="00000000" w:rsidRDefault="00000000" w:rsidRPr="00000000" w14:paraId="00000310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Desde el punto de vista tecnológico, el proyecto integra diversas tecnologías ampliamente utilizadas en el desarrollo de software moderno, tales como:</w:t>
            </w:r>
          </w:p>
          <w:p w:rsidR="00000000" w:rsidDel="00000000" w:rsidP="00000000" w:rsidRDefault="00000000" w:rsidRPr="00000000" w14:paraId="00000311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Spring Boot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para la construcción de servicios backend.</w:t>
            </w:r>
          </w:p>
          <w:p w:rsidR="00000000" w:rsidDel="00000000" w:rsidP="00000000" w:rsidRDefault="00000000" w:rsidRPr="00000000" w14:paraId="00000312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Android Studio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y el lenguaje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Kotlin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para el desarrollo de la aplicación móvil.</w:t>
            </w:r>
          </w:p>
          <w:p w:rsidR="00000000" w:rsidDel="00000000" w:rsidP="00000000" w:rsidRDefault="00000000" w:rsidRPr="00000000" w14:paraId="00000313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ML Kit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de Google para la implementación del módulo de reconocimiento de texto en imágenes.</w:t>
            </w:r>
          </w:p>
          <w:p w:rsidR="00000000" w:rsidDel="00000000" w:rsidP="00000000" w:rsidRDefault="00000000" w:rsidRPr="00000000" w14:paraId="00000314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MySQL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como sistema gestor de base de datos relacional para almacenar el catálogo de medicamentos y bioequivalentes.</w:t>
            </w:r>
          </w:p>
          <w:p w:rsidR="00000000" w:rsidDel="00000000" w:rsidP="00000000" w:rsidRDefault="00000000" w:rsidRPr="00000000" w14:paraId="00000315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Adicionalmente, el proyecto contempla buenas prácticas de ingeniería de software tales como:</w:t>
            </w:r>
          </w:p>
          <w:p w:rsidR="00000000" w:rsidDel="00000000" w:rsidP="00000000" w:rsidRDefault="00000000" w:rsidRPr="00000000" w14:paraId="00000316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Uso 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control de versiones mediante GitHub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17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Documentación de API mediante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Swagger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18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Pruebas de endpoints utilizando herramientas como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Postman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19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Implementación de pruebas unitarias con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JUnit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31A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Como consideración ética y de responsabilidad, la aplicación incluirá advertencias explícitas indicando que la información entregada es de carácter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referencial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y no reemplaza la orientación de profesionales de la salud ni las indicaciones médicas prescritas por un médico.</w:t>
            </w:r>
          </w:p>
          <w:p w:rsidR="00000000" w:rsidDel="00000000" w:rsidP="00000000" w:rsidRDefault="00000000" w:rsidRPr="00000000" w14:paraId="0000031B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Finalmente, el proyecto se plantea como una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5496"/>
                <w:sz w:val="22"/>
                <w:szCs w:val="22"/>
                <w:rtl w:val="0"/>
              </w:rPr>
              <w:t xml:space="preserve">prueba de concepto (Proof of Concept)</w:t>
            </w: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 que demuestra la viabilidad técnica de integrar reconocimiento de imágenes, inteligencia artificial y aplicaciones móviles para mejorar el acceso a información farmacológica. En futuras iteraciones podrían incorporar funcionalidades adicionales como:</w:t>
            </w:r>
          </w:p>
          <w:p w:rsidR="00000000" w:rsidDel="00000000" w:rsidP="00000000" w:rsidRDefault="00000000" w:rsidRPr="00000000" w14:paraId="0000031C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Geolocalización de farmacias con disponibilidad de medicamentos.</w:t>
            </w:r>
          </w:p>
          <w:p w:rsidR="00000000" w:rsidDel="00000000" w:rsidP="00000000" w:rsidRDefault="00000000" w:rsidRPr="00000000" w14:paraId="0000031D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Integración con bases de datos oficiales de precios.</w:t>
            </w:r>
          </w:p>
          <w:p w:rsidR="00000000" w:rsidDel="00000000" w:rsidP="00000000" w:rsidRDefault="00000000" w:rsidRPr="00000000" w14:paraId="0000031E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Historial de consultas del usuario.</w:t>
            </w:r>
          </w:p>
          <w:p w:rsidR="00000000" w:rsidDel="00000000" w:rsidP="00000000" w:rsidRDefault="00000000" w:rsidRPr="00000000" w14:paraId="0000031F">
            <w:pPr>
              <w:spacing w:after="120" w:before="0" w:line="276" w:lineRule="auto"/>
              <w:ind w:left="1080" w:hanging="360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●        Versiones multiplataforma (iOS y web).</w:t>
            </w:r>
          </w:p>
          <w:p w:rsidR="00000000" w:rsidDel="00000000" w:rsidP="00000000" w:rsidRDefault="00000000" w:rsidRPr="00000000" w14:paraId="00000320">
            <w:pPr>
              <w:spacing w:after="120" w:before="0" w:line="276" w:lineRule="auto"/>
              <w:rPr>
                <w:rFonts w:ascii="Calibri" w:cs="Calibri" w:eastAsia="Calibri" w:hAnsi="Calibri"/>
                <w:color w:val="2f5496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f5496"/>
                <w:sz w:val="22"/>
                <w:szCs w:val="22"/>
                <w:rtl w:val="0"/>
              </w:rPr>
              <w:t xml:space="preserve">Estas posibles extensiones permitirían transformar el prototipo académico en una solución tecnológica escalable con impacto real en el acceso a medicamentos y la transparencia del mercado farmacéutico.</w:t>
            </w:r>
          </w:p>
        </w:tc>
      </w:tr>
    </w:tbl>
    <w:p w:rsidR="00000000" w:rsidDel="00000000" w:rsidP="00000000" w:rsidRDefault="00000000" w:rsidRPr="00000000" w14:paraId="00000321">
      <w:pPr>
        <w:spacing w:after="120" w:before="0" w:line="276" w:lineRule="auto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10600997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2106009983" name="image3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210600997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1"/>
    <w:unhideWhenUsed w:val="1"/>
    <w:qFormat w:val="1"/>
    <w:rsid w:val="000B6803"/>
    <w:pPr>
      <w:keepNext w:val="1"/>
      <w:keepLines w:val="1"/>
      <w:spacing w:before="40"/>
      <w:outlineLvl w:val="6"/>
    </w:pPr>
    <w:rPr>
      <w:rFonts w:asciiTheme="majorHAnsi" w:cstheme="majorBidi" w:eastAsiaTheme="majorEastAsia" w:hAnsiTheme="majorHAnsi"/>
      <w:i w:val="1"/>
      <w:iCs w:val="1"/>
      <w:color w:val="1f3763" w:themeColor="accent1" w:themeShade="00007F"/>
    </w:rPr>
  </w:style>
  <w:style w:type="paragraph" w:styleId="Ttulo8">
    <w:name w:val="heading 8"/>
    <w:basedOn w:val="Normal"/>
    <w:next w:val="Normal"/>
    <w:link w:val="Ttulo8Car"/>
    <w:uiPriority w:val="1"/>
    <w:unhideWhenUsed w:val="1"/>
    <w:qFormat w:val="1"/>
    <w:rsid w:val="000B6803"/>
    <w:pPr>
      <w:keepNext w:val="1"/>
      <w:keepLines w:val="1"/>
      <w:spacing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 w:val="1"/>
    <w:qFormat w:val="1"/>
    <w:rsid w:val="000B6803"/>
    <w:pPr>
      <w:keepNext w:val="1"/>
      <w:keepLines w:val="1"/>
      <w:spacing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A23138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A23138"/>
    <w:pPr>
      <w:spacing w:after="100" w:afterAutospacing="1" w:before="100" w:before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C2445"/>
    <w:rPr>
      <w:rFonts w:ascii="Times New Roman" w:cs="Times New Roman" w:hAnsi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after="100" w:afterAutospacing="1" w:before="100" w:beforeAutospacing="1"/>
    </w:p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B20B1B"/>
    <w:rPr>
      <w:rFonts w:ascii="Courier New" w:cs="Courier New" w:eastAsia="Times New Roman" w:hAnsi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 w:val="1"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cs="Times New Roman" w:eastAsia="Times New Roman" w:hAnsi="Times New Roman"/>
      <w:b w:val="1"/>
      <w:bCs w:val="1"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cs="Times New Roman" w:eastAsia="Times New Roman" w:hAnsi="Times New Roman"/>
      <w:b w:val="1"/>
      <w:bCs w:val="1"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cstheme="majorBidi" w:eastAsiaTheme="majorEastAsia" w:hAnsiTheme="majorHAnsi"/>
      <w:color w:val="2f5496" w:themeColor="accent1" w:themeShade="0000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9846C8"/>
    <w:pPr>
      <w:spacing w:before="480" w:line="276" w:lineRule="auto"/>
      <w:outlineLvl w:val="9"/>
    </w:pPr>
    <w:rPr>
      <w:b w:val="1"/>
      <w:bCs w:val="1"/>
      <w:sz w:val="28"/>
      <w:szCs w:val="28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846C8"/>
    <w:pPr>
      <w:ind w:left="480"/>
    </w:pPr>
    <w:rPr>
      <w:rFonts w:asciiTheme="minorHAnsi" w:cs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 w:val="1"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9846C8"/>
    <w:pPr>
      <w:spacing w:before="120"/>
    </w:pPr>
    <w:rPr>
      <w:rFonts w:asciiTheme="minorHAnsi" w:cstheme="minorHAnsi" w:hAnsiTheme="minorHAnsi"/>
      <w:b w:val="1"/>
      <w:bCs w:val="1"/>
      <w:i w:val="1"/>
      <w:iCs w:val="1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9846C8"/>
    <w:pPr>
      <w:spacing w:before="120"/>
      <w:ind w:left="240"/>
    </w:pPr>
    <w:rPr>
      <w:rFonts w:asciiTheme="minorHAnsi" w:cstheme="minorHAnsi" w:hAnsiTheme="minorHAnsi"/>
      <w:b w:val="1"/>
      <w:bCs w:val="1"/>
      <w:sz w:val="22"/>
      <w:szCs w:val="22"/>
    </w:r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9846C8"/>
    <w:pPr>
      <w:ind w:left="720"/>
    </w:pPr>
    <w:rPr>
      <w:rFonts w:asciiTheme="minorHAnsi" w:cs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9846C8"/>
    <w:pPr>
      <w:ind w:left="960"/>
    </w:pPr>
    <w:rPr>
      <w:rFonts w:asciiTheme="minorHAnsi" w:cs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9846C8"/>
    <w:pPr>
      <w:ind w:left="1200"/>
    </w:pPr>
    <w:rPr>
      <w:rFonts w:asciiTheme="minorHAnsi" w:cs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9846C8"/>
    <w:pPr>
      <w:ind w:left="1440"/>
    </w:pPr>
    <w:rPr>
      <w:rFonts w:asciiTheme="minorHAnsi" w:cs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9846C8"/>
    <w:pPr>
      <w:ind w:left="1680"/>
    </w:pPr>
    <w:rPr>
      <w:rFonts w:asciiTheme="minorHAnsi" w:cs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9846C8"/>
    <w:pPr>
      <w:ind w:left="1920"/>
    </w:pPr>
    <w:rPr>
      <w:rFonts w:asciiTheme="minorHAnsi" w:cstheme="minorHAnsi" w:hAnsiTheme="minorHAnsi"/>
      <w:sz w:val="20"/>
      <w:szCs w:val="20"/>
    </w:rPr>
  </w:style>
  <w:style w:type="paragraph" w:styleId="Estilo1" w:customStyle="1">
    <w:name w:val="Estilo1"/>
    <w:basedOn w:val="Prrafodelista"/>
    <w:qFormat w:val="1"/>
    <w:rsid w:val="00E14E89"/>
    <w:pPr>
      <w:numPr>
        <w:ilvl w:val="1"/>
        <w:numId w:val="1"/>
      </w:numPr>
      <w:spacing w:after="100" w:afterAutospacing="1" w:before="100" w:beforeAutospacing="1"/>
    </w:pPr>
    <w:rPr>
      <w:rFonts w:asciiTheme="minorHAnsi" w:cstheme="minorHAnsi" w:hAnsi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B6803"/>
    <w:rPr>
      <w:rFonts w:asciiTheme="majorHAnsi" w:cstheme="majorBidi" w:eastAsiaTheme="majorEastAsia" w:hAnsiTheme="majorHAnsi"/>
      <w:color w:val="2f5496" w:themeColor="accent1" w:themeShade="0000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cstheme="majorBidi" w:eastAsiaTheme="majorEastAsia" w:hAnsiTheme="majorHAnsi"/>
      <w:color w:val="1f3763" w:themeColor="accent1" w:themeShade="0000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B6803"/>
    <w:rPr>
      <w:rFonts w:asciiTheme="majorHAnsi" w:cstheme="majorBidi" w:eastAsiaTheme="majorEastAsia" w:hAnsiTheme="majorHAnsi"/>
      <w:i w:val="1"/>
      <w:iCs w:val="1"/>
      <w:color w:val="1f3763" w:themeColor="accent1" w:themeShade="0000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B6803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cs="Arial" w:eastAsia="Arial" w:hAnsi="Arial"/>
      <w:sz w:val="31"/>
      <w:szCs w:val="31"/>
      <w:lang w:val="en-US"/>
    </w:rPr>
  </w:style>
  <w:style w:type="table" w:styleId="NormalTable0" w:customStyle="1">
    <w:name w:val="Normal Table0"/>
    <w:uiPriority w:val="2"/>
    <w:semiHidden w:val="1"/>
    <w:unhideWhenUsed w:val="1"/>
    <w:qFormat w:val="1"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 w:val="1"/>
    <w:rsid w:val="000B6803"/>
    <w:pPr>
      <w:widowControl w:val="0"/>
      <w:autoSpaceDE w:val="0"/>
      <w:autoSpaceDN w:val="0"/>
    </w:pPr>
    <w:rPr>
      <w:lang w:eastAsia="en-US" w:val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cs="Times New Roman" w:eastAsia="Times New Roman" w:hAnsi="Times New Roman"/>
      <w:lang w:val="en-US"/>
    </w:rPr>
  </w:style>
  <w:style w:type="paragraph" w:styleId="TableParagraph" w:customStyle="1">
    <w:name w:val="Table Paragraph"/>
    <w:basedOn w:val="Normal"/>
    <w:uiPriority w:val="1"/>
    <w:qFormat w:val="1"/>
    <w:rsid w:val="000B6803"/>
    <w:pPr>
      <w:widowControl w:val="0"/>
      <w:autoSpaceDE w:val="0"/>
      <w:autoSpaceDN w:val="0"/>
    </w:pPr>
    <w:rPr>
      <w:sz w:val="22"/>
      <w:szCs w:val="22"/>
      <w:lang w:eastAsia="en-US" w:val="en-US"/>
    </w:rPr>
  </w:style>
  <w:style w:type="character" w:styleId="Textodelmarcadordeposicin">
    <w:name w:val="Placeholder Text"/>
    <w:basedOn w:val="Fuentedeprrafopredeter"/>
    <w:uiPriority w:val="99"/>
    <w:semiHidden w:val="1"/>
    <w:rsid w:val="00B65713"/>
    <w:rPr>
      <w:color w:val="808080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cs="Times New Roman" w:eastAsia="Times New Roman" w:hAnsi="Arial"/>
      <w:b w:val="1"/>
      <w:szCs w:val="20"/>
      <w:lang w:eastAsia="es-ES" w:val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cs="Times New Roman" w:eastAsia="Times New Roman" w:hAnsi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cs="Times New Roman" w:eastAsia="Times New Roman" w:hAnsi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5B482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5B4825"/>
    <w:rPr>
      <w:rFonts w:ascii="Times New Roman" w:cs="Times New Roman" w:eastAsia="Times New Roman" w:hAnsi="Times New Roman"/>
      <w:b w:val="1"/>
      <w:bCs w:val="1"/>
      <w:sz w:val="20"/>
      <w:szCs w:val="20"/>
      <w:lang w:eastAsia="es-ES_tradnl"/>
    </w:rPr>
  </w:style>
  <w:style w:type="paragraph" w:styleId="Sinespaciado">
    <w:name w:val="No Spacing"/>
    <w:uiPriority w:val="1"/>
    <w:qFormat w:val="1"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after="100" w:afterAutospacing="1" w:before="100" w:beforeAutospacing="1"/>
    </w:pPr>
    <w:rPr>
      <w:lang w:eastAsia="es-ES" w:val="es-ES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4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XWhEoBxMmjBS5aH1avOdhz+W7Q==">CgMxLjAyDmguZWJ2ZGJndTJtMjVhMg5oLngwY202NWxwendxaDIOaC5hdzVmaXpzbGFta2IyDmgucGlhbWxoZDFnZGYyOABqNAoUc3VnZ2VzdC41bjNqcWE2cW91eTMSHElWQU4gSkFWSUVSIENBUlJBU0NPIFZBU1FVRVpyITFTLWRtcDJQUl9IdTNxaHVMZlJtTlFkUTVhTzExakJqMw==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2023-11-08T19:24:00Z</dcterms:created>
  <dc:creator>Elyta Vásquez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