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8EE9A" w14:textId="77777777" w:rsidR="00173DA8" w:rsidRPr="003A6789" w:rsidRDefault="00331A61">
      <w:pPr>
        <w:pStyle w:val="Heading2"/>
        <w:spacing w:before="360" w:after="120" w:line="240" w:lineRule="auto"/>
        <w:ind w:left="3"/>
        <w:rPr>
          <w:rFonts w:ascii="Times New Roman" w:eastAsia="Calibri,sans-serif" w:hAnsi="Times New Roman"/>
          <w:color w:val="000000"/>
          <w:sz w:val="28"/>
        </w:rPr>
      </w:pPr>
      <w:r w:rsidRPr="003A6789">
        <w:rPr>
          <w:rFonts w:ascii="Times New Roman" w:eastAsia="Calibri,sans-serif" w:hAnsi="Times New Roman"/>
          <w:color w:val="980000"/>
          <w:sz w:val="28"/>
        </w:rPr>
        <w:t>STC 5-Week Mentorship 3.0 – Weekly Tasks, Instructions &amp;Report Templates</w:t>
      </w:r>
      <w:r w:rsidRPr="003A6789">
        <w:rPr>
          <w:rFonts w:ascii="Times New Roman" w:eastAsia="Calibri,sans-serif" w:hAnsi="Times New Roman"/>
          <w:color w:val="000000"/>
          <w:sz w:val="28"/>
        </w:rPr>
        <w:t xml:space="preserve"> </w:t>
      </w:r>
    </w:p>
    <w:p w14:paraId="43165001" w14:textId="77777777" w:rsidR="00173DA8" w:rsidRPr="003A6789" w:rsidRDefault="00331A61">
      <w:pPr>
        <w:spacing w:before="360" w:after="120" w:line="240" w:lineRule="auto"/>
        <w:ind w:left="3"/>
        <w:rPr>
          <w:rFonts w:ascii="Times New Roman" w:eastAsia="Calibri,sans-serif" w:hAnsi="Times New Roman"/>
          <w:b/>
          <w:color w:val="000000"/>
          <w:sz w:val="28"/>
        </w:rPr>
      </w:pPr>
      <w:r w:rsidRPr="003A6789">
        <w:rPr>
          <w:rFonts w:ascii="Times New Roman" w:eastAsia="Calibri,sans-serif" w:hAnsi="Times New Roman"/>
          <w:b/>
          <w:color w:val="000000"/>
          <w:sz w:val="28"/>
        </w:rPr>
        <w:t>Report Template (Week 3)</w:t>
      </w:r>
    </w:p>
    <w:p w14:paraId="4A0809D5" w14:textId="77777777" w:rsidR="00173DA8" w:rsidRPr="003A6789" w:rsidRDefault="00331A61">
      <w:pPr>
        <w:spacing w:before="360" w:after="120" w:line="240" w:lineRule="auto"/>
        <w:ind w:left="3"/>
        <w:rPr>
          <w:rFonts w:ascii="Times New Roman" w:eastAsia="Calibri,sans-serif" w:hAnsi="Times New Roman"/>
          <w:b/>
          <w:color w:val="000000"/>
          <w:sz w:val="28"/>
        </w:rPr>
      </w:pPr>
      <w:r w:rsidRPr="003A6789">
        <w:rPr>
          <w:rFonts w:ascii="Times New Roman" w:eastAsia="Calibri,sans-serif" w:hAnsi="Times New Roman"/>
          <w:b/>
          <w:color w:val="000000"/>
          <w:sz w:val="28"/>
        </w:rPr>
        <w:t xml:space="preserve">Health Industry </w:t>
      </w:r>
    </w:p>
    <w:p w14:paraId="316E178E"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Introduction</w:t>
      </w:r>
    </w:p>
    <w:p w14:paraId="678A80FE"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Healthcare organizations generate large volumes of data from patient encounters, clinical procedures, insurance claims, and administrative activities. When properly analyzed, this data provides valuable insights that support evidence-based decision-making, improve patient outcomes, optimize resource utilization, and enhance operational efficiency.</w:t>
      </w:r>
    </w:p>
    <w:p w14:paraId="47838B61"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For this week's task, a healthcare dataset from Massachusetts General Hospital was analyzed using Power BI. The analysis focused on exploring relationships across multiple datasets to answer key business questions related to patient care, healthcare costs, procedures, and insurance coverage. The project involved data modeling, data analysis, and the creation of interactive visualizations to transform raw healthcare data into meaningful insights that can support informed decision-making by hospital managemen</w:t>
      </w:r>
      <w:r w:rsidRPr="003A6789">
        <w:rPr>
          <w:rFonts w:ascii="Times New Roman" w:hAnsi="Times New Roman"/>
        </w:rPr>
        <w:t>t and other key stakeholders.</w:t>
      </w:r>
    </w:p>
    <w:p w14:paraId="1C86F2CA"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2. Business Questions</w:t>
      </w:r>
    </w:p>
    <w:p w14:paraId="001CEE1A" w14:textId="77777777" w:rsidR="00173DA8" w:rsidRDefault="00331A61">
      <w:pPr>
        <w:spacing w:before="360" w:after="120" w:line="240" w:lineRule="auto"/>
        <w:ind w:left="3"/>
        <w:rPr>
          <w:rFonts w:ascii="Times New Roman" w:hAnsi="Times New Roman"/>
        </w:rPr>
      </w:pPr>
      <w:r w:rsidRPr="003A6789">
        <w:rPr>
          <w:rFonts w:ascii="Times New Roman" w:hAnsi="Times New Roman"/>
        </w:rPr>
        <w:t>The analysis was conducted to address the following business questions aimed at supporting operational efficiency, cost optimization, and improved patient care at Massachusetts General Hospital:</w:t>
      </w:r>
    </w:p>
    <w:p w14:paraId="696485DA" w14:textId="77777777" w:rsidR="003A6789" w:rsidRPr="003A6789" w:rsidRDefault="003A6789">
      <w:pPr>
        <w:spacing w:before="360" w:after="120" w:line="240" w:lineRule="auto"/>
        <w:ind w:left="3"/>
        <w:rPr>
          <w:rFonts w:ascii="Times New Roman" w:hAnsi="Times New Roman"/>
        </w:rPr>
      </w:pPr>
    </w:p>
    <w:p w14:paraId="70E71031" w14:textId="77777777" w:rsidR="00173DA8" w:rsidRPr="003A6789" w:rsidRDefault="00331A61" w:rsidP="003A6789">
      <w:pPr>
        <w:numPr>
          <w:ilvl w:val="0"/>
          <w:numId w:val="3"/>
        </w:numPr>
        <w:spacing w:after="120" w:line="240" w:lineRule="auto"/>
        <w:rPr>
          <w:rFonts w:ascii="Times New Roman" w:hAnsi="Times New Roman"/>
        </w:rPr>
      </w:pPr>
      <w:r w:rsidRPr="003A6789">
        <w:rPr>
          <w:rFonts w:ascii="Times New Roman" w:hAnsi="Times New Roman"/>
        </w:rPr>
        <w:t>How many patients are readmitted within 30 days of discharge?</w:t>
      </w:r>
    </w:p>
    <w:p w14:paraId="6B652335" w14:textId="77777777" w:rsidR="00173DA8" w:rsidRPr="003A6789" w:rsidRDefault="00331A61" w:rsidP="003A6789">
      <w:pPr>
        <w:numPr>
          <w:ilvl w:val="0"/>
          <w:numId w:val="3"/>
        </w:numPr>
        <w:spacing w:after="120" w:line="240" w:lineRule="auto"/>
        <w:rPr>
          <w:rFonts w:ascii="Times New Roman" w:hAnsi="Times New Roman"/>
        </w:rPr>
      </w:pPr>
      <w:r w:rsidRPr="003A6789">
        <w:rPr>
          <w:rFonts w:ascii="Times New Roman" w:hAnsi="Times New Roman"/>
        </w:rPr>
        <w:t>What is the average cost per encounter by procedure type?</w:t>
      </w:r>
    </w:p>
    <w:p w14:paraId="220496C6" w14:textId="77777777" w:rsidR="00173DA8" w:rsidRPr="003A6789" w:rsidRDefault="00331A61" w:rsidP="003A6789">
      <w:pPr>
        <w:numPr>
          <w:ilvl w:val="0"/>
          <w:numId w:val="3"/>
        </w:numPr>
        <w:spacing w:after="120" w:line="240" w:lineRule="auto"/>
        <w:rPr>
          <w:rFonts w:ascii="Times New Roman" w:hAnsi="Times New Roman"/>
        </w:rPr>
      </w:pPr>
      <w:r w:rsidRPr="003A6789">
        <w:rPr>
          <w:rFonts w:ascii="Times New Roman" w:hAnsi="Times New Roman"/>
        </w:rPr>
        <w:t>Which procedures receive the least insurance coverage?</w:t>
      </w:r>
    </w:p>
    <w:p w14:paraId="251900C6" w14:textId="77777777" w:rsidR="00173DA8" w:rsidRPr="003A6789" w:rsidRDefault="00331A61" w:rsidP="003A6789">
      <w:pPr>
        <w:numPr>
          <w:ilvl w:val="0"/>
          <w:numId w:val="3"/>
        </w:numPr>
        <w:spacing w:after="120" w:line="240" w:lineRule="auto"/>
        <w:rPr>
          <w:rFonts w:ascii="Times New Roman" w:hAnsi="Times New Roman"/>
        </w:rPr>
      </w:pPr>
      <w:r w:rsidRPr="003A6789">
        <w:rPr>
          <w:rFonts w:ascii="Times New Roman" w:hAnsi="Times New Roman"/>
        </w:rPr>
        <w:t>Do older patients experience longer hospital stays than younger patients?</w:t>
      </w:r>
    </w:p>
    <w:p w14:paraId="4B3F7369" w14:textId="77777777" w:rsidR="00173DA8" w:rsidRPr="003A6789" w:rsidRDefault="00331A61" w:rsidP="003A6789">
      <w:pPr>
        <w:numPr>
          <w:ilvl w:val="0"/>
          <w:numId w:val="3"/>
        </w:numPr>
        <w:spacing w:after="120" w:line="240" w:lineRule="auto"/>
        <w:rPr>
          <w:rFonts w:ascii="Times New Roman" w:hAnsi="Times New Roman"/>
        </w:rPr>
      </w:pPr>
      <w:r w:rsidRPr="003A6789">
        <w:rPr>
          <w:rFonts w:ascii="Times New Roman" w:hAnsi="Times New Roman"/>
        </w:rPr>
        <w:t>Are healthcare costs increasing over the years?</w:t>
      </w:r>
    </w:p>
    <w:p w14:paraId="5C3B67EC"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3. Dataset Used</w:t>
      </w:r>
    </w:p>
    <w:p w14:paraId="6E0EAE56"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The analysis was conducted using a healthcare dataset from Massachusetts General Hospital. The dataset comprises six tables, of which five were used for this analysis: Patient, Encounter, Procedure, Payers, and Dictionary. The first four tables provided the patient, clinical, procedural, and insurance data required for the analysis, while the Dictionary table served as a reference for understanding the dataset's fields and definitions.</w:t>
      </w:r>
    </w:p>
    <w:p w14:paraId="4442FEC5"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lastRenderedPageBreak/>
        <w:t>4. Tools Used</w:t>
      </w:r>
    </w:p>
    <w:p w14:paraId="5934AA33"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Power BI was the only tool used throughout the analysis. It was utilized for data modeling, DAX calculations, dashboard development, and interactive data visualization.</w:t>
      </w:r>
    </w:p>
    <w:p w14:paraId="5472502D" w14:textId="6FF6CBF8" w:rsidR="00173DA8" w:rsidRPr="003A6789" w:rsidRDefault="00331A61">
      <w:pPr>
        <w:spacing w:before="360" w:after="120" w:line="240" w:lineRule="auto"/>
        <w:ind w:left="3"/>
        <w:rPr>
          <w:rFonts w:ascii="Times New Roman" w:hAnsi="Times New Roman"/>
        </w:rPr>
      </w:pPr>
      <w:r w:rsidRPr="003A6789">
        <w:rPr>
          <w:rFonts w:ascii="Times New Roman" w:hAnsi="Times New Roman"/>
        </w:rPr>
        <w:t xml:space="preserve">5. </w:t>
      </w:r>
      <w:r w:rsidR="003A6789" w:rsidRPr="003A6789">
        <w:rPr>
          <w:rFonts w:ascii="Times New Roman" w:hAnsi="Times New Roman"/>
        </w:rPr>
        <w:t>Performed Analysis</w:t>
      </w:r>
    </w:p>
    <w:p w14:paraId="407AAC88"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The analysis was carried out in Power BI using DAX measures and calculated columns to derive key performance indicators and answer the business questions. A new Age Group calculated column was created to support demographic analysis, while additional measures were developed to calculate readmissions, average encounter costs, insurance coverage, length of stay, and cost trends. Interactive filters and slicers were also incorporated to enable dynamic exploration of the results.</w:t>
      </w:r>
    </w:p>
    <w:p w14:paraId="3D39C39C" w14:textId="77777777" w:rsidR="00173DA8" w:rsidRPr="003A6789" w:rsidRDefault="00331A61">
      <w:pPr>
        <w:pStyle w:val="ListParagraph"/>
        <w:numPr>
          <w:ilvl w:val="0"/>
          <w:numId w:val="2"/>
        </w:numPr>
        <w:spacing w:before="360" w:after="120" w:line="240" w:lineRule="auto"/>
        <w:rPr>
          <w:rFonts w:ascii="Times New Roman" w:hAnsi="Times New Roman"/>
        </w:rPr>
      </w:pPr>
      <w:r w:rsidRPr="003A6789">
        <w:rPr>
          <w:rFonts w:ascii="Times New Roman" w:hAnsi="Times New Roman"/>
        </w:rPr>
        <w:t xml:space="preserve"> Dashboard and Visualizations</w:t>
      </w:r>
    </w:p>
    <w:p w14:paraId="6C120838" w14:textId="77777777" w:rsidR="00173DA8" w:rsidRPr="003A6789" w:rsidRDefault="00331A61">
      <w:pPr>
        <w:spacing w:before="360" w:after="120" w:line="240" w:lineRule="auto"/>
        <w:rPr>
          <w:rFonts w:ascii="Times New Roman" w:hAnsi="Times New Roman"/>
        </w:rPr>
      </w:pPr>
      <w:r w:rsidRPr="003A6789">
        <w:rPr>
          <w:rFonts w:ascii="Times New Roman" w:hAnsi="Times New Roman"/>
        </w:rPr>
        <w:t>The analysis was presented using a two-page interactive Power BI dashboard:</w:t>
      </w:r>
    </w:p>
    <w:p w14:paraId="0AD2304D"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Page 1: Admission and Length of Stay (LOS) – Displays key metrics and visualizations related to patient admissions, readmissions, and length of stay across different demographic groups.</w:t>
      </w:r>
    </w:p>
    <w:p w14:paraId="3C93B970"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Page 2: Financial Analysis – Presents insights into healthcare costs, procedure expenses, insurance coverage, and cost trends over time using interactive visualizations.</w:t>
      </w:r>
    </w:p>
    <w:p w14:paraId="0A3DD1C3"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7. Key Insights</w:t>
      </w:r>
    </w:p>
    <w:p w14:paraId="00A4D1AD"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Readmissions: A total of 218 patients were readmitted within 30 days of discharge.</w:t>
      </w:r>
    </w:p>
    <w:p w14:paraId="4E0C974A"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Average Cost per Encounter by Procedure Type: The top five most expensive procedures were Admission into ICU (₦0.32M), Resuscitation using IVF (₦0.21M), Transfer to Step-Down Unit (₦0.21M), Hemodialysis (₦0.21M), and Ventilation Procedure/ET Tube Insertion (₦0.13M).</w:t>
      </w:r>
    </w:p>
    <w:p w14:paraId="5414C9A0" w14:textId="7FC49F44" w:rsidR="00173DA8" w:rsidRPr="003A6789" w:rsidRDefault="00331A61">
      <w:pPr>
        <w:spacing w:before="360" w:after="120" w:line="240" w:lineRule="auto"/>
        <w:ind w:left="3"/>
        <w:rPr>
          <w:rFonts w:ascii="Times New Roman" w:hAnsi="Times New Roman"/>
        </w:rPr>
      </w:pPr>
      <w:r w:rsidRPr="003A6789">
        <w:rPr>
          <w:rFonts w:ascii="Times New Roman" w:hAnsi="Times New Roman"/>
        </w:rPr>
        <w:t xml:space="preserve">Least Insurance Coverage: The procedures with the lowest insurance coverage were Hemodialysis (83.4%), </w:t>
      </w:r>
      <w:r w:rsidR="003A6789" w:rsidRPr="003A6789">
        <w:rPr>
          <w:rFonts w:ascii="Times New Roman" w:hAnsi="Times New Roman"/>
        </w:rPr>
        <w:t>cardiovascular disease</w:t>
      </w:r>
      <w:r w:rsidRPr="003A6789">
        <w:rPr>
          <w:rFonts w:ascii="Times New Roman" w:hAnsi="Times New Roman"/>
        </w:rPr>
        <w:t xml:space="preserve"> (CVD) Stress Test (87.3%), Biopsy of Colon (88.53%), Methotrexate Injection for Tubal Pregnancy (92.94%), and Sputum Microscopy (94.19%).</w:t>
      </w:r>
    </w:p>
    <w:p w14:paraId="3C87D8F7"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Length of Stay by Age Group: Patients aged 35–49 years had the highest average length of stay (1.22 days), followed by those aged 50–64 years (0.39 days) and 65 years and above (0.11 days).</w:t>
      </w:r>
    </w:p>
    <w:p w14:paraId="429B4D67"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Cost Trend Over the Years: Healthcare costs fluctuated over time rather than showing a consistent upward trend, with notable peaks in 2012 (₦4,300) and 2020 (₦4,094), and lower costs observed in 2014 (₦3,087), 2016 (₦3,420), 2021 (₦2,600), and 2022 (₦3,133).</w:t>
      </w:r>
    </w:p>
    <w:p w14:paraId="5AF541CE"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8. Alignment with Business Questions</w:t>
      </w:r>
    </w:p>
    <w:p w14:paraId="0DEA706E"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lastRenderedPageBreak/>
        <w:t>The analysis successfully addressed all the stated business questions through the Power BI dashboard. It identified the number of patients readmitted within 30 days, determined the average cost per encounter by procedure type, highlighted the procedures with the lowest insurance coverage, compared the average length of stay across age groups, and evaluated healthcare cost trends over the years. The findings provide actionable insights to support data-driven decision-making in patient care, resource allocati</w:t>
      </w:r>
      <w:r w:rsidRPr="003A6789">
        <w:rPr>
          <w:rFonts w:ascii="Times New Roman" w:hAnsi="Times New Roman"/>
        </w:rPr>
        <w:t>on, and financial planning.</w:t>
      </w:r>
    </w:p>
    <w:p w14:paraId="75E7D159"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9. Recommendations</w:t>
      </w:r>
    </w:p>
    <w:p w14:paraId="595735AC" w14:textId="77777777" w:rsidR="00173DA8" w:rsidRPr="003A6789" w:rsidRDefault="00331A61" w:rsidP="003A6789">
      <w:pPr>
        <w:numPr>
          <w:ilvl w:val="0"/>
          <w:numId w:val="4"/>
        </w:numPr>
        <w:spacing w:after="120" w:line="240" w:lineRule="auto"/>
        <w:rPr>
          <w:rFonts w:ascii="Times New Roman" w:hAnsi="Times New Roman"/>
        </w:rPr>
      </w:pPr>
      <w:r w:rsidRPr="003A6789">
        <w:rPr>
          <w:rFonts w:ascii="Times New Roman" w:hAnsi="Times New Roman"/>
        </w:rPr>
        <w:t>Review the factors contributing to 30-day readmissions and implement targeted interventions to reduce avoidable readmissions.</w:t>
      </w:r>
    </w:p>
    <w:p w14:paraId="01B2E885" w14:textId="77777777" w:rsidR="00173DA8" w:rsidRPr="003A6789" w:rsidRDefault="00331A61" w:rsidP="003A6789">
      <w:pPr>
        <w:numPr>
          <w:ilvl w:val="0"/>
          <w:numId w:val="4"/>
        </w:numPr>
        <w:spacing w:after="120" w:line="240" w:lineRule="auto"/>
        <w:rPr>
          <w:rFonts w:ascii="Times New Roman" w:hAnsi="Times New Roman"/>
        </w:rPr>
      </w:pPr>
      <w:r w:rsidRPr="003A6789">
        <w:rPr>
          <w:rFonts w:ascii="Times New Roman" w:hAnsi="Times New Roman"/>
        </w:rPr>
        <w:t>Develop cost-control strategies for high-cost procedures, particularly ICU admissions and Hemodialysis, to improve financial efficiency.</w:t>
      </w:r>
    </w:p>
    <w:p w14:paraId="478EF269" w14:textId="77777777" w:rsidR="00173DA8" w:rsidRPr="003A6789" w:rsidRDefault="00331A61" w:rsidP="003A6789">
      <w:pPr>
        <w:numPr>
          <w:ilvl w:val="0"/>
          <w:numId w:val="4"/>
        </w:numPr>
        <w:spacing w:after="120" w:line="240" w:lineRule="auto"/>
        <w:rPr>
          <w:rFonts w:ascii="Times New Roman" w:hAnsi="Times New Roman"/>
        </w:rPr>
      </w:pPr>
      <w:r w:rsidRPr="003A6789">
        <w:rPr>
          <w:rFonts w:ascii="Times New Roman" w:hAnsi="Times New Roman"/>
        </w:rPr>
        <w:t>Reassess insurance coverage for procedures with low reimbursement to reduce patients' out-of-pocket expenses and improve access to care.</w:t>
      </w:r>
    </w:p>
    <w:p w14:paraId="51F6738C" w14:textId="77777777" w:rsidR="00173DA8" w:rsidRPr="003A6789" w:rsidRDefault="00331A61" w:rsidP="003A6789">
      <w:pPr>
        <w:numPr>
          <w:ilvl w:val="0"/>
          <w:numId w:val="4"/>
        </w:numPr>
        <w:spacing w:after="120" w:line="240" w:lineRule="auto"/>
        <w:rPr>
          <w:rFonts w:ascii="Times New Roman" w:hAnsi="Times New Roman"/>
        </w:rPr>
      </w:pPr>
      <w:r w:rsidRPr="003A6789">
        <w:rPr>
          <w:rFonts w:ascii="Times New Roman" w:hAnsi="Times New Roman"/>
        </w:rPr>
        <w:t>Investigate the reasons for the longer average length of stay among patients aged 35–49 years and implement strategies to improve care efficiency.</w:t>
      </w:r>
    </w:p>
    <w:p w14:paraId="76BBA4B0" w14:textId="77777777" w:rsidR="00173DA8" w:rsidRPr="003A6789" w:rsidRDefault="00331A61" w:rsidP="003A6789">
      <w:pPr>
        <w:numPr>
          <w:ilvl w:val="0"/>
          <w:numId w:val="4"/>
        </w:numPr>
        <w:spacing w:after="120" w:line="240" w:lineRule="auto"/>
        <w:rPr>
          <w:rFonts w:ascii="Times New Roman" w:hAnsi="Times New Roman"/>
        </w:rPr>
      </w:pPr>
      <w:r w:rsidRPr="003A6789">
        <w:rPr>
          <w:rFonts w:ascii="Times New Roman" w:hAnsi="Times New Roman"/>
        </w:rPr>
        <w:t>Monitor healthcare costs regularly to identify emerging trends and support effective financial planning and resource allocation.</w:t>
      </w:r>
    </w:p>
    <w:p w14:paraId="17A9E42F"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10. Challenges, Assumptions, and Important Notes</w:t>
      </w:r>
    </w:p>
    <w:p w14:paraId="6BA39672" w14:textId="77777777" w:rsidR="00173DA8" w:rsidRPr="003A6789" w:rsidRDefault="00331A61" w:rsidP="003A6789">
      <w:pPr>
        <w:numPr>
          <w:ilvl w:val="0"/>
          <w:numId w:val="5"/>
        </w:numPr>
        <w:spacing w:after="120" w:line="240" w:lineRule="auto"/>
        <w:rPr>
          <w:rFonts w:ascii="Times New Roman" w:hAnsi="Times New Roman"/>
        </w:rPr>
      </w:pPr>
      <w:r w:rsidRPr="003A6789">
        <w:rPr>
          <w:rFonts w:ascii="Times New Roman" w:hAnsi="Times New Roman"/>
        </w:rPr>
        <w:t>Assumption: The dataset did not contain a dedicated Procedure Type column. Therefore, the Procedure Description field was used as a substitute for procedure type, as it provided a suitable basis for the analysis.</w:t>
      </w:r>
    </w:p>
    <w:p w14:paraId="7DCF762B" w14:textId="77777777" w:rsidR="00173DA8" w:rsidRPr="003A6789" w:rsidRDefault="00331A61" w:rsidP="003A6789">
      <w:pPr>
        <w:numPr>
          <w:ilvl w:val="0"/>
          <w:numId w:val="5"/>
        </w:numPr>
        <w:spacing w:after="120" w:line="240" w:lineRule="auto"/>
        <w:rPr>
          <w:rFonts w:ascii="Times New Roman" w:hAnsi="Times New Roman"/>
        </w:rPr>
      </w:pPr>
      <w:r w:rsidRPr="003A6789">
        <w:rPr>
          <w:rFonts w:ascii="Times New Roman" w:hAnsi="Times New Roman"/>
        </w:rPr>
        <w:t>Assumption: Since the dataset did not explicitly identify admitted and readmitted patients, encounters classified as Inpatient, Emergency, and Urgent Care under the Encounter Class field were assumed to represent hospital admissions for the purpose of the analysis.</w:t>
      </w:r>
    </w:p>
    <w:p w14:paraId="1AF5390C" w14:textId="77777777" w:rsidR="00173DA8" w:rsidRPr="003A6789" w:rsidRDefault="00331A61" w:rsidP="003A6789">
      <w:pPr>
        <w:numPr>
          <w:ilvl w:val="0"/>
          <w:numId w:val="5"/>
        </w:numPr>
        <w:spacing w:after="120" w:line="240" w:lineRule="auto"/>
        <w:rPr>
          <w:rFonts w:ascii="Times New Roman" w:hAnsi="Times New Roman"/>
        </w:rPr>
      </w:pPr>
      <w:r w:rsidRPr="003A6789">
        <w:rPr>
          <w:rFonts w:ascii="Times New Roman" w:hAnsi="Times New Roman"/>
        </w:rPr>
        <w:t>Challenge: There was some uncertainty regarding the admission classification due to the lack of explicit documentation in the dataset. However, this approach was adopted to meet the project submission timeline.</w:t>
      </w:r>
    </w:p>
    <w:p w14:paraId="4C9A4AB7" w14:textId="77777777" w:rsidR="00173DA8" w:rsidRPr="003A6789" w:rsidRDefault="00331A61" w:rsidP="003A6789">
      <w:pPr>
        <w:numPr>
          <w:ilvl w:val="0"/>
          <w:numId w:val="5"/>
        </w:numPr>
        <w:spacing w:after="120" w:line="240" w:lineRule="auto"/>
        <w:rPr>
          <w:rFonts w:ascii="Times New Roman" w:hAnsi="Times New Roman"/>
        </w:rPr>
      </w:pPr>
      <w:r w:rsidRPr="003A6789">
        <w:rPr>
          <w:rFonts w:ascii="Times New Roman" w:hAnsi="Times New Roman"/>
        </w:rPr>
        <w:t>Important Note: The assumptions made during the analysis are expected to be reviewed and validated during the scheduled mentorship review session to ensure they align with the intended interpretation of the dataset.</w:t>
      </w:r>
    </w:p>
    <w:p w14:paraId="563121A6"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11. Conclusion</w:t>
      </w:r>
    </w:p>
    <w:p w14:paraId="35E4CEF9" w14:textId="77777777" w:rsidR="00173DA8" w:rsidRPr="003A6789" w:rsidRDefault="00331A61">
      <w:pPr>
        <w:spacing w:before="360" w:after="120" w:line="240" w:lineRule="auto"/>
        <w:ind w:left="3"/>
        <w:rPr>
          <w:rFonts w:ascii="Times New Roman" w:hAnsi="Times New Roman"/>
        </w:rPr>
      </w:pPr>
      <w:r w:rsidRPr="003A6789">
        <w:rPr>
          <w:rFonts w:ascii="Times New Roman" w:hAnsi="Times New Roman"/>
        </w:rPr>
        <w:t>This analysis successfully addressed the key business questions using Power BI, providing valuable insights into patient readmissions, length of stay, procedure costs, insurance coverage, and cost trends. The findings can support informed decision-making aimed at improving patient outcomes, operational efficiency, and financial performance.</w:t>
      </w:r>
    </w:p>
    <w:p w14:paraId="25E4EEFD" w14:textId="77777777" w:rsidR="00173DA8" w:rsidRPr="003A6789" w:rsidRDefault="00173DA8">
      <w:pPr>
        <w:spacing w:before="360" w:after="120" w:line="240" w:lineRule="auto"/>
        <w:ind w:left="3"/>
        <w:rPr>
          <w:rFonts w:ascii="Times New Roman" w:hAnsi="Times New Roman"/>
        </w:rPr>
      </w:pPr>
    </w:p>
    <w:sectPr w:rsidR="00173DA8" w:rsidRPr="003A6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sans-serif">
    <w:altName w:val="Times New Roman"/>
    <w:charset w:val="00"/>
    <w:family w:val="roman"/>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970CA57F"/>
    <w:lvl w:ilvl="0" w:tplc="0409000F">
      <w:start w:val="6"/>
      <w:numFmt w:val="decimal"/>
      <w:lvlText w:val="%1."/>
      <w:lvlJc w:val="left"/>
      <w:pPr>
        <w:ind w:left="363" w:hanging="360"/>
      </w:p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36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36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360"/>
      </w:pPr>
    </w:lvl>
  </w:abstractNum>
  <w:abstractNum w:abstractNumId="1" w15:restartNumberingAfterBreak="0">
    <w:nsid w:val="206D351F"/>
    <w:multiLevelType w:val="hybridMultilevel"/>
    <w:tmpl w:val="4D46CE4E"/>
    <w:lvl w:ilvl="0" w:tplc="08090001">
      <w:start w:val="1"/>
      <w:numFmt w:val="bullet"/>
      <w:lvlText w:val=""/>
      <w:lvlJc w:val="left"/>
      <w:pPr>
        <w:ind w:left="723" w:hanging="360"/>
      </w:pPr>
      <w:rPr>
        <w:rFonts w:ascii="Symbol" w:hAnsi="Symbol" w:hint="default"/>
      </w:rPr>
    </w:lvl>
    <w:lvl w:ilvl="1" w:tplc="08090003" w:tentative="1">
      <w:start w:val="1"/>
      <w:numFmt w:val="bullet"/>
      <w:lvlText w:val="o"/>
      <w:lvlJc w:val="left"/>
      <w:pPr>
        <w:ind w:left="1443" w:hanging="360"/>
      </w:pPr>
      <w:rPr>
        <w:rFonts w:ascii="Courier New" w:hAnsi="Courier New" w:cs="Courier New" w:hint="default"/>
      </w:rPr>
    </w:lvl>
    <w:lvl w:ilvl="2" w:tplc="08090005" w:tentative="1">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2" w15:restartNumberingAfterBreak="0">
    <w:nsid w:val="48EC43F9"/>
    <w:multiLevelType w:val="hybridMultilevel"/>
    <w:tmpl w:val="CB0046FE"/>
    <w:lvl w:ilvl="0" w:tplc="08090001">
      <w:start w:val="1"/>
      <w:numFmt w:val="bullet"/>
      <w:lvlText w:val=""/>
      <w:lvlJc w:val="left"/>
      <w:pPr>
        <w:ind w:left="723" w:hanging="360"/>
      </w:pPr>
      <w:rPr>
        <w:rFonts w:ascii="Symbol" w:hAnsi="Symbol" w:hint="default"/>
      </w:rPr>
    </w:lvl>
    <w:lvl w:ilvl="1" w:tplc="08090003" w:tentative="1">
      <w:start w:val="1"/>
      <w:numFmt w:val="bullet"/>
      <w:lvlText w:val="o"/>
      <w:lvlJc w:val="left"/>
      <w:pPr>
        <w:ind w:left="1443" w:hanging="360"/>
      </w:pPr>
      <w:rPr>
        <w:rFonts w:ascii="Courier New" w:hAnsi="Courier New" w:cs="Courier New" w:hint="default"/>
      </w:rPr>
    </w:lvl>
    <w:lvl w:ilvl="2" w:tplc="08090005" w:tentative="1">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3" w15:restartNumberingAfterBreak="0">
    <w:nsid w:val="7EB66C8F"/>
    <w:multiLevelType w:val="hybridMultilevel"/>
    <w:tmpl w:val="1130CD66"/>
    <w:lvl w:ilvl="0" w:tplc="08090001">
      <w:start w:val="1"/>
      <w:numFmt w:val="bullet"/>
      <w:lvlText w:val=""/>
      <w:lvlJc w:val="left"/>
      <w:pPr>
        <w:ind w:left="723" w:hanging="360"/>
      </w:pPr>
      <w:rPr>
        <w:rFonts w:ascii="Symbol" w:hAnsi="Symbol" w:hint="default"/>
      </w:rPr>
    </w:lvl>
    <w:lvl w:ilvl="1" w:tplc="08090003" w:tentative="1">
      <w:start w:val="1"/>
      <w:numFmt w:val="bullet"/>
      <w:lvlText w:val="o"/>
      <w:lvlJc w:val="left"/>
      <w:pPr>
        <w:ind w:left="1443" w:hanging="360"/>
      </w:pPr>
      <w:rPr>
        <w:rFonts w:ascii="Courier New" w:hAnsi="Courier New" w:cs="Courier New" w:hint="default"/>
      </w:rPr>
    </w:lvl>
    <w:lvl w:ilvl="2" w:tplc="08090005" w:tentative="1">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num w:numId="1" w16cid:durableId="570119082">
    <w:abstractNumId w:val="0"/>
  </w:num>
  <w:num w:numId="2" w16cid:durableId="9188254">
    <w:abstractNumId w:val="0"/>
  </w:num>
  <w:num w:numId="3" w16cid:durableId="336348061">
    <w:abstractNumId w:val="1"/>
  </w:num>
  <w:num w:numId="4" w16cid:durableId="1671639262">
    <w:abstractNumId w:val="3"/>
  </w:num>
  <w:num w:numId="5" w16cid:durableId="1097138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DA8"/>
    <w:rsid w:val="00173DA8"/>
    <w:rsid w:val="00331A61"/>
    <w:rsid w:val="003A6789"/>
    <w:rsid w:val="00647F77"/>
    <w:rsid w:val="00731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5CA83"/>
  <w15:docId w15:val="{961C9D33-797D-45CF-B6BA-A95D01F0A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b/>
      <w:bCs/>
      <w:color w:val="4F81BD"/>
      <w:sz w:val="26"/>
      <w:szCs w:val="2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23053RN02A</dc:creator>
  <cp:lastModifiedBy>Monrovia-dataentryoperator</cp:lastModifiedBy>
  <cp:revision>2</cp:revision>
  <dcterms:created xsi:type="dcterms:W3CDTF">2026-07-17T11:05:00Z</dcterms:created>
  <dcterms:modified xsi:type="dcterms:W3CDTF">2026-07-17T11:05:00Z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dcd017b4a9b34cc5b3654a51c1c3b8dd_23</vt:lpwstr>
  </property>
  <property fmtid="{D5CDD505-2E9C-101B-9397-08002B2CF9AE}" pid="3" name="MSIP_Label_567260a7-e8fa-4725-882d-2ac21de4eca3_Enabled">
    <vt:lpwstr>true</vt:lpwstr>
  </property>
  <property fmtid="{D5CDD505-2E9C-101B-9397-08002B2CF9AE}" pid="4" name="MSIP_Label_567260a7-e8fa-4725-882d-2ac21de4eca3_SetDate">
    <vt:lpwstr>2026-07-17T11:04:47Z</vt:lpwstr>
  </property>
  <property fmtid="{D5CDD505-2E9C-101B-9397-08002B2CF9AE}" pid="5" name="MSIP_Label_567260a7-e8fa-4725-882d-2ac21de4eca3_Method">
    <vt:lpwstr>Standard</vt:lpwstr>
  </property>
  <property fmtid="{D5CDD505-2E9C-101B-9397-08002B2CF9AE}" pid="6" name="MSIP_Label_567260a7-e8fa-4725-882d-2ac21de4eca3_Name">
    <vt:lpwstr>WaCA - Internal</vt:lpwstr>
  </property>
  <property fmtid="{D5CDD505-2E9C-101B-9397-08002B2CF9AE}" pid="7" name="MSIP_Label_567260a7-e8fa-4725-882d-2ac21de4eca3_SiteId">
    <vt:lpwstr>4d9dd1af-83ce-4e9b-b090-b0543ccc2b31</vt:lpwstr>
  </property>
  <property fmtid="{D5CDD505-2E9C-101B-9397-08002B2CF9AE}" pid="8" name="MSIP_Label_567260a7-e8fa-4725-882d-2ac21de4eca3_ActionId">
    <vt:lpwstr>2f1a298d-8afc-49f7-9f56-b1757a81b442</vt:lpwstr>
  </property>
  <property fmtid="{D5CDD505-2E9C-101B-9397-08002B2CF9AE}" pid="9" name="MSIP_Label_567260a7-e8fa-4725-882d-2ac21de4eca3_ContentBits">
    <vt:lpwstr>0</vt:lpwstr>
  </property>
  <property fmtid="{D5CDD505-2E9C-101B-9397-08002B2CF9AE}" pid="10" name="MSIP_Label_567260a7-e8fa-4725-882d-2ac21de4eca3_Tag">
    <vt:lpwstr>10, 3, 0, 1</vt:lpwstr>
  </property>
</Properties>
</file>