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itle"/>
        <w:spacing w:before="240" w:after="120"/>
        <w:jc w:val="center"/>
        <w:rPr/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t>OI OI OI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60"/>
        <w:gridCol w:w="1697"/>
      </w:tblGrid>
      <w:tr>
        <w:trPr>
          <w:trHeight w:val="450" w:hRule="atLeast"/>
          <w:cantSplit w:val="false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Lorem ipsum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Lorem ipsum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Cras fringilla ipsum magna, in fringilla dui commodo a.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Aliquam erat volutpat.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cs="DejaVu Sans" w:ascii="DejaVu Sans" w:hAnsi="DejaVu San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cs="DejaVu Sans" w:ascii="DejaVu Sans" w:hAnsi="DejaVu Sans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Fusce vitae vestibulum velit.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cs="DejaVu Sans" w:ascii="DejaVu Sans" w:hAnsi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Etiam vehicula luctus fermentum.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cs="DejaVu Sans" w:ascii="DejaVu Sans" w:hAnsi="DejaVu Sans"/>
                <w:sz w:val="21"/>
              </w:rPr>
            </w:pPr>
            <w:r>
              <w:rPr>
                <w:rFonts w:cs="DejaVu Sans" w:ascii="DejaVu Sans" w:hAnsi="DejaVu Sans"/>
                <w:sz w:val="21"/>
              </w:rPr>
            </w:r>
          </w:p>
        </w:tc>
      </w:tr>
    </w:tbl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Heading1"/>
        <w:numPr>
          <w:ilvl w:val="0"/>
          <w:numId w:val="1"/>
        </w:numPr>
        <w:rPr/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Heading2"/>
        <w:numPr>
          <w:ilvl w:val="1"/>
          <w:numId w:val="1"/>
        </w:numPr>
        <w:rPr/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Heading2"/>
        <w:numPr>
          <w:ilvl w:val="1"/>
          <w:numId w:val="1"/>
        </w:numPr>
        <w:rPr/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Normal"/>
        <w:rPr>
          <w:rFonts w:cs="DejaVu Sans" w:ascii="DejaVu Sans" w:hAnsi="DejaVu Sans"/>
        </w:rPr>
      </w:pPr>
      <w:r>
        <w:t>OI OI OI</w:t>
      </w:r>
    </w:p>
    <w:p>
      <w:pPr>
        <w:pStyle w:val="Normal"/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Heading2"/>
        <w:numPr>
          <w:ilvl w:val="1"/>
          <w:numId w:val="1"/>
        </w:numPr>
        <w:rPr/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Heading2"/>
        <w:numPr>
          <w:ilvl w:val="1"/>
          <w:numId w:val="1"/>
        </w:numPr>
        <w:rPr/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t>OI OI OI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center"/>
        <w:rPr/>
      </w:pPr>
      <w:r>
        <w:t>OI OI OI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ducts.office.com/en-us/word" TargetMode="External"/><Relationship Id="rId3" Type="http://schemas.openxmlformats.org/officeDocument/2006/relationships/chart" Target="charts/chart1.xm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89890442"/>
        <c:axId val="70646997"/>
      </c:barChart>
      <c:catAx>
        <c:axId val="8989044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0646997"/>
        <c:crossesAt val="0"/>
        <c:auto val="1"/>
        <c:lblAlgn val="ctr"/>
        <c:lblOffset val="100"/>
      </c:catAx>
      <c:valAx>
        <c:axId val="7064699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9890442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language>en-US</dc:language>
  <cp:revision>0</cp:revision>
</cp:coreProperties>
</file>