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ANTLR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Source set properties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Controlling the ANTLR generator process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extends the Java plugin to add support for generating parsers using </w:t>
      </w:r>
      <w:hyperlink r:id="rId82">
        <w:r w:rsidDel="00000000" w:rsidR="00000000" w:rsidRPr="00000000">
          <w:rPr>
            <w:color w:val="1da2bd"/>
            <w:rtl w:val="0"/>
          </w:rPr>
          <w:t xml:space="preserve">ANTLR</w:t>
        </w:r>
      </w:hyperlink>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ANTLR plugin supports ANTLR version 2, 3 and 4.</w:t>
            </w:r>
          </w:p>
        </w:tc>
      </w:tr>
    </w:tbl>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ANTLR plugin, include the following in your build script:</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Using the ANTLR plugin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'antlr'</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adds a number of tasks to your project, as shown below.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generateGrammarSource — </w:t>
      </w:r>
      <w:hyperlink r:id="rId83">
        <w:r w:rsidDel="00000000" w:rsidR="00000000" w:rsidRPr="00000000">
          <w:rPr>
            <w:color w:val="1da2bd"/>
            <w:rtl w:val="0"/>
          </w:rPr>
          <w:t xml:space="preserve">AntlrTask</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source files for all production ANTLR grammars.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generateTestGrammarSource — </w:t>
      </w:r>
      <w:hyperlink r:id="rId84">
        <w:r w:rsidDel="00000000" w:rsidR="00000000" w:rsidRPr="00000000">
          <w:rPr>
            <w:color w:val="1da2bd"/>
            <w:rtl w:val="0"/>
          </w:rPr>
          <w:t xml:space="preserve">AntlrTask</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source files for all test ANTLR grammars.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generate</w:t>
      </w:r>
      <w:r w:rsidDel="00000000" w:rsidR="00000000" w:rsidRPr="00000000">
        <w:rPr>
          <w:i w:val="1"/>
          <w:rtl w:val="0"/>
        </w:rPr>
        <w:t xml:space="preserve">SourceSet</w:t>
      </w:r>
      <w:r w:rsidDel="00000000" w:rsidR="00000000" w:rsidRPr="00000000">
        <w:rPr>
          <w:rtl w:val="0"/>
        </w:rPr>
        <w:t xml:space="preserve">GrammarSource — </w:t>
      </w:r>
      <w:hyperlink r:id="rId85">
        <w:r w:rsidDel="00000000" w:rsidR="00000000" w:rsidRPr="00000000">
          <w:rPr>
            <w:color w:val="1da2bd"/>
            <w:rtl w:val="0"/>
          </w:rPr>
          <w:t xml:space="preserve">AntlrTask</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source files for all ANTLR grammars for the given source 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adds the following dependencies to tasks added by the Java plugin.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ANTLR plugin - additional task dependencies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Task name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Depends 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generateGrammarSource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compileTestJava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generateTestGrammarSource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compile</w:t>
            </w:r>
            <w:r w:rsidDel="00000000" w:rsidR="00000000" w:rsidRPr="00000000">
              <w:rPr>
                <w:i w:val="1"/>
                <w:shd w:fill="auto" w:val="clear"/>
                <w:vertAlign w:val="baseline"/>
                <w:rtl w:val="0"/>
              </w:rPr>
              <w:t xml:space="preserve">SourceSet</w:t>
            </w:r>
            <w:r w:rsidDel="00000000" w:rsidR="00000000" w:rsidRPr="00000000">
              <w:rPr>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generate</w:t>
            </w:r>
            <w:r w:rsidDel="00000000" w:rsidR="00000000" w:rsidRPr="00000000">
              <w:rPr>
                <w:i w:val="1"/>
                <w:shd w:fill="auto" w:val="clear"/>
                <w:vertAlign w:val="baseline"/>
                <w:rtl w:val="0"/>
              </w:rPr>
              <w:t xml:space="preserve">SourceSet</w:t>
            </w:r>
            <w:r w:rsidDel="00000000" w:rsidR="00000000" w:rsidRPr="00000000">
              <w:rPr>
                <w:shd w:fill="auto" w:val="clear"/>
                <w:vertAlign w:val="baseline"/>
                <w:rtl w:val="0"/>
              </w:rPr>
              <w:t xml:space="preserve">GrammarSource</w:t>
            </w:r>
          </w:p>
        </w:tc>
      </w:tr>
    </w:tbl>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src/main/antlr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ANTLR grammar files. If the ANTLR grammar is organized in packages, the structure in the antlr folder should reflect the package structure. This ensures that the generated sources end up in the correct target subfolder.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src/test/antlr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ANTLR grammar files.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/antlr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ANTLR grammar files for the given source set.</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adds an antlr dependency configuration which provides the ANTLR implementation to use. The following example shows how to use ANTLR version 3.</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Declare ANTLR version</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antlr "org.antlr:antlr:3.5.2" // use ANTLR version 3</w:t>
        <w:br w:type="textWrapping"/>
        <w:t xml:space="preserve">    // antlr "org.antlr:antlr4:4.5" // use ANTLR version 4</w:t>
        <w:br w:type="textWrapping"/>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no dependency is declared, antlr:antlr:2.7.7 will be used as the default. To use a different ANTLR version add the appropriate dependency to the antlr dependency configuration as above.</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does not add any convention properties.</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Source set properties</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plugin adds the following properties to each source set in the project.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antlr — </w:t>
      </w:r>
      <w:hyperlink r:id="rId86">
        <w:r w:rsidDel="00000000" w:rsidR="00000000" w:rsidRPr="00000000">
          <w:rPr>
            <w:color w:val="1da2bd"/>
            <w:rtl w:val="0"/>
          </w:rPr>
          <w:t xml:space="preserve">SourceDirectorySet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ANTLR grammar files of this source set. Contains all .g or .g4 files found in the ANTLR source directories, and excludes all other types of files. </w:t>
      </w:r>
      <w:r w:rsidDel="00000000" w:rsidR="00000000" w:rsidRPr="00000000">
        <w:rPr>
          <w:i w:val="1"/>
          <w:rtl w:val="0"/>
        </w:rPr>
        <w:t xml:space="preserve">Default value is non-null.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antlr.srcDirs — Set&lt;File&gt;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source directories containing the ANTLR grammar files of this source set. Can set using anything </w:t>
      </w:r>
      <w:hyperlink r:id="rId87">
        <w:r w:rsidDel="00000000" w:rsidR="00000000" w:rsidRPr="00000000">
          <w:rPr>
            <w:color w:val="1da2bd"/>
            <w:rtl w:val="0"/>
          </w:rPr>
          <w:t xml:space="preserve">that implicitly converts to a file collection</w:t>
        </w:r>
      </w:hyperlink>
      <w:r w:rsidDel="00000000" w:rsidR="00000000" w:rsidRPr="00000000">
        <w:rPr>
          <w:rtl w:val="0"/>
        </w:rPr>
        <w:t xml:space="preserve">. Default value is [</w:t>
      </w:r>
      <w:r w:rsidDel="00000000" w:rsidR="00000000" w:rsidRPr="00000000">
        <w:rPr>
          <w:i w:val="1"/>
          <w:rtl w:val="0"/>
        </w:rPr>
        <w:t xml:space="preserve">projectDir</w:t>
      </w:r>
      <w:r w:rsidDel="00000000" w:rsidR="00000000" w:rsidRPr="00000000">
        <w:rPr>
          <w:rtl w:val="0"/>
        </w:rPr>
        <w:t xml:space="preserve">/src/</w:t>
      </w:r>
      <w:r w:rsidDel="00000000" w:rsidR="00000000" w:rsidRPr="00000000">
        <w:rPr>
          <w:i w:val="1"/>
          <w:rtl w:val="0"/>
        </w:rPr>
        <w:t xml:space="preserve">name</w:t>
      </w:r>
      <w:r w:rsidDel="00000000" w:rsidR="00000000" w:rsidRPr="00000000">
        <w:rPr>
          <w:rtl w:val="0"/>
        </w:rPr>
        <w:t xml:space="preserve">/antlr].</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Controlling the ANTLR generator process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ANTLR tool is executed in a forked process. This allows fine grained control over memory settings for the ANTLR process. To set the heap size of an ANTLR process, the maxHeapSize property of </w:t>
      </w:r>
      <w:hyperlink r:id="rId88">
        <w:r w:rsidDel="00000000" w:rsidR="00000000" w:rsidRPr="00000000">
          <w:rPr>
            <w:color w:val="1da2bd"/>
            <w:rtl w:val="0"/>
          </w:rPr>
          <w:t xml:space="preserve">AntlrTask</w:t>
        </w:r>
      </w:hyperlink>
      <w:r w:rsidDel="00000000" w:rsidR="00000000" w:rsidRPr="00000000">
        <w:rPr>
          <w:rtl w:val="0"/>
        </w:rPr>
        <w:t xml:space="preserve"> can be used. To pass additional command-line arguments, append to the arguments property of </w:t>
      </w:r>
      <w:hyperlink r:id="rId89">
        <w:r w:rsidDel="00000000" w:rsidR="00000000" w:rsidRPr="00000000">
          <w:rPr>
            <w:color w:val="1da2bd"/>
            <w:rtl w:val="0"/>
          </w:rPr>
          <w:t xml:space="preserve">AntlrTask</w:t>
        </w:r>
      </w:hyperlink>
      <w:r w:rsidDel="00000000" w:rsidR="00000000" w:rsidRPr="00000000">
        <w:rPr>
          <w:rtl w:val="0"/>
        </w:rPr>
        <w:t xml:space="preserve">.</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Setting custom max heap size and extra arguments for ANTLR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generateGrammarSource {</w:t>
        <w:br w:type="textWrapping"/>
        <w:t xml:space="preserve">    maxHeapSize = "64m"</w:t>
        <w:br w:type="textWrapping"/>
        <w:t xml:space="preserve">    arguments += ["-visitor", "-long-messages"]</w:t>
        <w:br w:type="textWrapping"/>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D1">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D2">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D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plugins.antlr.AntlrTask.html" TargetMode="External"/><Relationship Id="rId83" Type="http://schemas.openxmlformats.org/officeDocument/2006/relationships/hyperlink" Target="http://docs.google.com/dsl/org.gradle.api.plugins.antlr.AntlrTask.html" TargetMode="External"/><Relationship Id="rId86" Type="http://schemas.openxmlformats.org/officeDocument/2006/relationships/hyperlink" Target="http://docs.google.com/dsl/org.gradle.api.file.SourceDirectorySet.html" TargetMode="External"/><Relationship Id="rId85" Type="http://schemas.openxmlformats.org/officeDocument/2006/relationships/hyperlink" Target="http://docs.google.com/dsl/org.gradle.api.plugins.antlr.AntlrTask.html" TargetMode="External"/><Relationship Id="rId88" Type="http://schemas.openxmlformats.org/officeDocument/2006/relationships/hyperlink" Target="http://docs.google.com/dsl/org.gradle.api.plugins.antlr.AntlrTask.html" TargetMode="External"/><Relationship Id="rId87" Type="http://schemas.openxmlformats.org/officeDocument/2006/relationships/hyperlink" Target="http://docs.google.com/working_with_files.html#sec:specifying_multiple_files" TargetMode="External"/><Relationship Id="rId89" Type="http://schemas.openxmlformats.org/officeDocument/2006/relationships/hyperlink" Target="http://docs.google.com/dsl/org.gradle.api.plugins.antlr.AntlrTask.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www.antlr.or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