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555F6E"/>
          <w:sz w:val="18"/>
        </w:rPr>
        <w:t>РУССКАЯ ПЛАТИНА · ООО «ЧЕРНОГОРСКАЯ ГРК»</w:t>
      </w:r>
    </w:p>
    <w:p>
      <w:pPr>
        <w:spacing w:before="40" w:after="0"/>
      </w:pPr>
      <w:r>
        <w:rPr>
          <w:b/>
          <w:color w:val="14295E"/>
          <w:sz w:val="32"/>
        </w:rPr>
        <w:t>ПАМЯТКА НАБЛЮДАТЕЛЯ КИА</w:t>
      </w:r>
    </w:p>
    <w:p>
      <w:pPr>
        <w:spacing w:before="0" w:after="20"/>
      </w:pPr>
      <w:r>
        <w:rPr>
          <w:b w:val="0"/>
          <w:color w:val="555F6E"/>
          <w:sz w:val="19"/>
        </w:rPr>
        <w:t>Система ГТМ зданий и сооружений · журналы замеров: правила заполнения и передачи</w:t>
      </w:r>
    </w:p>
    <w:p>
      <w:pPr>
        <w:spacing w:before="0" w:after="80"/>
      </w:pPr>
      <w:r>
        <w:rPr>
          <w:b w:val="0"/>
          <w:color w:val="555F6E"/>
          <w:sz w:val="16"/>
        </w:rPr>
        <w:t>Редакция 16.09.2026 — добавлено правило сезонности стока (раздел 4): тревоги паводка только при физической возможности талой/дождевой воды</w:t>
      </w:r>
    </w:p>
    <w:p>
      <w:pPr>
        <w:spacing w:before="80" w:after="40"/>
      </w:pPr>
      <w:r>
        <w:rPr>
          <w:b/>
          <w:color w:val="14295E"/>
          <w:sz w:val="21"/>
        </w:rPr>
        <w:t>1. ЖУРНАЛЫ (5 ФАЙЛОВ EXCEL)</w:t>
      </w:r>
    </w:p>
    <w:p>
      <w:pPr>
        <w:spacing w:before="0" w:after="60"/>
      </w:pPr>
      <w:r>
        <w:rPr>
          <w:b/>
          <w:sz w:val="19"/>
        </w:rPr>
        <w:t xml:space="preserve">Где взять: </w:t>
      </w:r>
      <w:r>
        <w:rPr>
          <w:b w:val="0"/>
          <w:sz w:val="19"/>
        </w:rPr>
        <w:t>сайт ГТМ → «Центр управления ГТМ» → «Загрузка данных» → ссылки «⬇» у каждого блока, или у оператора системы.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082"/>
        <w:gridCol w:w="6236"/>
      </w:tblGrid>
      <w:tr>
        <w:tc>
          <w:tcPr>
            <w:tcW w:type="dxa" w:w="5159"/>
            <w:shd w:val="clear" w:fill="14295E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Файл журнала</w:t>
            </w:r>
          </w:p>
        </w:tc>
        <w:tc>
          <w:tcPr>
            <w:tcW w:type="dxa" w:w="5159"/>
            <w:shd w:val="clear" w:fill="14295E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Что фиксируем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Журнал_термометрии_2101_ККД.xlsx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Температуры грунта подпорной стены ККД: скв. ПС-1…ПС-5, ПС-7, ПС-нов; глубины 0–20 м</w:t>
            </w:r>
          </w:p>
        </w:tc>
      </w:tr>
      <w:tr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Журнал_деформаций_2101_ККД.xlsx</w:t>
            </w:r>
          </w:p>
        </w:tc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Отметки марок ККД (51 марка); осадка считается автоматически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Журнал_деформаций_2102_Галерея.xlsx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Отметки марок галереи ККД–СКДР (14 марок)</w:t>
            </w:r>
          </w:p>
        </w:tc>
      </w:tr>
      <w:tr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Журнал_деформаций_2303_КЗК.xlsx</w:t>
            </w:r>
          </w:p>
        </w:tc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Отметки марок КЗК (14 марок)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Журнал_пьезометрии_ЧГРК.xlsx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Уровни воды: водоём + пьезометры П-1…П-6</w:t>
            </w:r>
          </w:p>
        </w:tc>
      </w:tr>
    </w:tbl>
    <w:p>
      <w:pPr>
        <w:spacing w:before="120" w:after="40"/>
      </w:pPr>
      <w:r>
        <w:rPr>
          <w:b/>
          <w:color w:val="14295E"/>
          <w:sz w:val="21"/>
        </w:rPr>
        <w:t>2. КАК ЗАПОЛНЯТЬ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Заполнять только строки замеров. Шапку, названия листов и столбцов не менять; строки и столбцы не вставлять и не удалять.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Шифр скважины / марку выбирать из выпадающего списка (предзаполненные строки уже содержат шифры).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Дата — в формате ДД.ММ.ГГГГ (например, 18.01.2026).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Числа — с точкой или запятой (241,573 или 241.573). Отметки — в метрах; в журналах деформаций осадка считается формулой автоматически.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Нет замера — оставить ячейку пустой или поставить прочерк «-».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Файл НЕ переименовывать: шифр объекта в имени (2101, 2102, 2303) — по нему система автоматически определяет объект.</w:t>
      </w:r>
    </w:p>
    <w:p>
      <w:pPr>
        <w:spacing w:before="120" w:after="40"/>
      </w:pPr>
      <w:r>
        <w:rPr>
          <w:b/>
          <w:color w:val="14295E"/>
          <w:sz w:val="21"/>
        </w:rPr>
        <w:t>3. ПЕРИОДИЧНОСТЬ И ПЕРЕДАЧА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Замеры — по графику наблюдений, утверждённому главным инженером.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Ближайшие циклы и напоминания — в разделе «Центр управления ГТМ» → «📅 График замеров КИА» (бейдж на кнопке раздела — за 7 дней до цикла).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Заполненный журнал передать ответственному за ГТМ (оператору системы) в течение 3 рабочих дней после цикла замеров.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Оператор с уровнем доступа «оператор» загружает файл на сайт самостоятельно: «Центр управления ГТМ» → «Загрузка данных» → «Выбрать файл…»; затем в разделе «График замеров КИА» отмечает «✔ цикл выполнен».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После загрузки система показывает предпросмотр: число распознанных строк должно совпасть с числом строк замеров — это контроль правильности заполнения.</w:t>
      </w:r>
    </w:p>
    <w:p>
      <w:pPr>
        <w:spacing w:before="120" w:after="40"/>
      </w:pPr>
      <w:r>
        <w:rPr>
          <w:b/>
          <w:color w:val="14295E"/>
          <w:sz w:val="21"/>
        </w:rPr>
        <w:t>4. ТРЕВОГА ЛИВНЕВОГО ПРИТОКА (ГИДРОЛОГИЧЕСКИЙ РИСК)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Система ежесуточно пересчитывает прогноз притока талых и дождевых вод к объектам (метеопрогноз × модель стока по ЦМР). Тревога — красная полоса над картой и блок «🌊 Ливневый приток» в метеоконтроле; расшифровка — «Центр контроля ГТМ» → «🌊 Модель стока».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Тревоги действуют только когда сток физически возможен: переходы температуры через 0 °C весной и осенью (снеготаяние), дожди и ливни тёплого сезона. При устойчивом морозе талой воды нет — сток отсутствует, тревог не будет.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При тревоге — внеочередной осмотр объекта и водоотвода (отмостка, лотки, канавы, дренаж): в день тревоги и повторно после ливня или интенсивного снеготаяния.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Направления стока у объекта — на карте: слой «🌊 Расчётная гидросеть»; кнопка «⌖ Показать водосбор на карте» в блоке «💧 Гидрологический расчёт» карточки объекта сама центрирует карту и включает этот слой.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Подтопление, застой воды, размыв — зафиксировать в журнале осмотров и сообщить оператору (ответственному за ГТМ) в день обнаружения.</w:t>
      </w:r>
    </w:p>
    <w:p>
      <w:pPr>
        <w:spacing w:before="120" w:after="40"/>
      </w:pPr>
      <w:r>
        <w:rPr>
          <w:b/>
          <w:color w:val="14295E"/>
          <w:sz w:val="21"/>
        </w:rPr>
        <w:t>5. ЧТО НЕЛЬЗЯ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Менять структуру файла, объединять ячейки, добавлять формулы вне предусмотренных столбцов.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Присылать фото или сканы рукописных журналов вместо файла Excel — они не распознаются автоматически.</w:t>
      </w:r>
    </w:p>
    <w:p>
      <w:pPr>
        <w:spacing w:before="160" w:after="0"/>
      </w:pPr>
      <w:r>
        <w:rPr>
          <w:b w:val="0"/>
          <w:color w:val="555F6E"/>
          <w:sz w:val="18"/>
        </w:rPr>
        <w:t>Вопросы и замечания — ответственному за ГТМ зданий и сооружений.</w:t>
      </w:r>
    </w:p>
    <w:p>
      <w:pPr>
        <w:spacing w:before="40" w:after="0"/>
      </w:pPr>
      <w:r>
        <w:rPr>
          <w:b w:val="0"/>
          <w:color w:val="555F6E"/>
          <w:sz w:val="16"/>
        </w:rPr>
        <w:t>ГТМ зданий и сооружений · ООО «Черногорская ГРК» · aniigb.github.io/gis-chgrk-gtm</w:t>
      </w:r>
    </w:p>
    <w:sectPr w:rsidR="00FC693F" w:rsidRPr="0006063C" w:rsidSect="00034616">
      <w:pgSz w:w="11906" w:h="16838"/>
      <w:pgMar w:top="680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