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/>
          <w:color w:val="555F6E"/>
          <w:sz w:val="18"/>
        </w:rPr>
        <w:t>РУССКАЯ ПЛАТИНА · ООО «ЧЕРНОГОРСКАЯ ГРК»</w:t>
      </w:r>
    </w:p>
    <w:p>
      <w:pPr>
        <w:spacing w:before="40" w:after="0"/>
      </w:pPr>
      <w:r>
        <w:rPr>
          <w:b/>
          <w:color w:val="14295E"/>
          <w:sz w:val="32"/>
        </w:rPr>
        <w:t>ПАМЯТКА НАБЛЮДАТЕЛЯ КИА</w:t>
      </w:r>
    </w:p>
    <w:p>
      <w:pPr>
        <w:spacing w:before="0" w:after="20"/>
      </w:pPr>
      <w:r>
        <w:rPr>
          <w:b w:val="0"/>
          <w:color w:val="555F6E"/>
          <w:sz w:val="19"/>
        </w:rPr>
        <w:t>Система ГТМ зданий и сооружений · журналы замеров: правила заполнения и передачи</w:t>
      </w:r>
    </w:p>
    <w:p>
      <w:pPr>
        <w:spacing w:before="0" w:after="80"/>
      </w:pPr>
      <w:r>
        <w:rPr>
          <w:b w:val="0"/>
          <w:color w:val="555F6E"/>
          <w:sz w:val="16"/>
        </w:rPr>
        <w:t>Редакция 01.10.2026 — разделы системы унифицированы под единым названием «Центр контроля ГТМ»; правило сезонности стока (раздел 4): тревоги паводка только при физической возможности талой/дождевой воды</w:t>
      </w:r>
    </w:p>
    <w:p>
      <w:pPr>
        <w:spacing w:before="80" w:after="40"/>
      </w:pPr>
      <w:r>
        <w:rPr>
          <w:b/>
          <w:color w:val="14295E"/>
          <w:sz w:val="21"/>
        </w:rPr>
        <w:t>1. ЖУРНАЛЫ (5 ФАЙЛОВ EXCEL)</w:t>
      </w:r>
    </w:p>
    <w:p>
      <w:pPr>
        <w:spacing w:before="0" w:after="60"/>
      </w:pPr>
      <w:r>
        <w:rPr>
          <w:b/>
          <w:sz w:val="19"/>
        </w:rPr>
        <w:t xml:space="preserve">Где взять: </w:t>
      </w:r>
      <w:r>
        <w:rPr>
          <w:b w:val="0"/>
          <w:sz w:val="19"/>
        </w:rPr>
        <w:t>сайт ГТМ → «Центр контроля ГТМ» → «Загрузка данных» → ссылки «⬇» у каждого блока, или у оператора системы.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082"/>
        <w:gridCol w:w="6236"/>
      </w:tblGrid>
      <w:tr>
        <w:tc>
          <w:tcPr>
            <w:tcW w:type="dxa" w:w="5159"/>
            <w:shd w:val="clear" w:fill="14295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Файл журнала</w:t>
            </w:r>
          </w:p>
        </w:tc>
        <w:tc>
          <w:tcPr>
            <w:tcW w:type="dxa" w:w="5159"/>
            <w:shd w:val="clear" w:fill="14295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Что фиксируем</w:t>
            </w:r>
          </w:p>
        </w:tc>
      </w:tr>
      <w:tr>
        <w:tc>
          <w:tcPr>
            <w:tcW w:type="dxa" w:w="5159"/>
          </w:tcPr>
          <w:p>
            <w:pPr>
              <w:spacing w:after="0"/>
            </w:pPr>
            <w:r>
              <w:rPr>
                <w:sz w:val="17"/>
              </w:rPr>
              <w:t>Журнал_термометрии_2101_ККД.xlsx</w:t>
            </w:r>
          </w:p>
        </w:tc>
        <w:tc>
          <w:tcPr>
            <w:tcW w:type="dxa" w:w="5159"/>
          </w:tcPr>
          <w:p>
            <w:pPr>
              <w:spacing w:after="0"/>
            </w:pPr>
            <w:r>
              <w:rPr>
                <w:sz w:val="17"/>
              </w:rPr>
              <w:t>Температуры грунта подпорной стены ККД: скв. ПС-1…ПС-5, ПС-7, ПС-нов; глубины 0–20 м</w:t>
            </w:r>
          </w:p>
        </w:tc>
      </w:tr>
      <w:tr>
        <w:tc>
          <w:tcPr>
            <w:tcW w:type="dxa" w:w="5159"/>
            <w:shd w:val="clear" w:fill="EEF1F7"/>
          </w:tcPr>
          <w:p>
            <w:pPr>
              <w:spacing w:after="0"/>
            </w:pPr>
            <w:r>
              <w:rPr>
                <w:sz w:val="17"/>
              </w:rPr>
              <w:t>Журнал_деформаций_2101_ККД.xlsx</w:t>
            </w:r>
          </w:p>
        </w:tc>
        <w:tc>
          <w:tcPr>
            <w:tcW w:type="dxa" w:w="5159"/>
            <w:shd w:val="clear" w:fill="EEF1F7"/>
          </w:tcPr>
          <w:p>
            <w:pPr>
              <w:spacing w:after="0"/>
            </w:pPr>
            <w:r>
              <w:rPr>
                <w:sz w:val="17"/>
              </w:rPr>
              <w:t>Отметки марок ККД (51 марка); осадка считается автоматически</w:t>
            </w:r>
          </w:p>
        </w:tc>
      </w:tr>
      <w:tr>
        <w:tc>
          <w:tcPr>
            <w:tcW w:type="dxa" w:w="5159"/>
          </w:tcPr>
          <w:p>
            <w:pPr>
              <w:spacing w:after="0"/>
            </w:pPr>
            <w:r>
              <w:rPr>
                <w:sz w:val="17"/>
              </w:rPr>
              <w:t>Журнал_деформаций_2102_Галерея.xlsx</w:t>
            </w:r>
          </w:p>
        </w:tc>
        <w:tc>
          <w:tcPr>
            <w:tcW w:type="dxa" w:w="5159"/>
          </w:tcPr>
          <w:p>
            <w:pPr>
              <w:spacing w:after="0"/>
            </w:pPr>
            <w:r>
              <w:rPr>
                <w:sz w:val="17"/>
              </w:rPr>
              <w:t>Отметки марок галереи ККД–СКДР (14 марок)</w:t>
            </w:r>
          </w:p>
        </w:tc>
      </w:tr>
      <w:tr>
        <w:tc>
          <w:tcPr>
            <w:tcW w:type="dxa" w:w="5159"/>
            <w:shd w:val="clear" w:fill="EEF1F7"/>
          </w:tcPr>
          <w:p>
            <w:pPr>
              <w:spacing w:after="0"/>
            </w:pPr>
            <w:r>
              <w:rPr>
                <w:sz w:val="17"/>
              </w:rPr>
              <w:t>Журнал_деформаций_2303_КЗК.xlsx</w:t>
            </w:r>
          </w:p>
        </w:tc>
        <w:tc>
          <w:tcPr>
            <w:tcW w:type="dxa" w:w="5159"/>
            <w:shd w:val="clear" w:fill="EEF1F7"/>
          </w:tcPr>
          <w:p>
            <w:pPr>
              <w:spacing w:after="0"/>
            </w:pPr>
            <w:r>
              <w:rPr>
                <w:sz w:val="17"/>
              </w:rPr>
              <w:t>Отметки марок КЗК (14 марок)</w:t>
            </w:r>
          </w:p>
        </w:tc>
      </w:tr>
      <w:tr>
        <w:tc>
          <w:tcPr>
            <w:tcW w:type="dxa" w:w="5159"/>
          </w:tcPr>
          <w:p>
            <w:pPr>
              <w:spacing w:after="0"/>
            </w:pPr>
            <w:r>
              <w:rPr>
                <w:sz w:val="17"/>
              </w:rPr>
              <w:t>Журнал_пьезометрии_ЧГРК.xlsx</w:t>
            </w:r>
          </w:p>
        </w:tc>
        <w:tc>
          <w:tcPr>
            <w:tcW w:type="dxa" w:w="5159"/>
          </w:tcPr>
          <w:p>
            <w:pPr>
              <w:spacing w:after="0"/>
            </w:pPr>
            <w:r>
              <w:rPr>
                <w:sz w:val="17"/>
              </w:rPr>
              <w:t>Уровни воды: водоём + пьезометры П-1…П-6</w:t>
            </w:r>
          </w:p>
        </w:tc>
      </w:tr>
    </w:tbl>
    <w:p>
      <w:pPr>
        <w:spacing w:before="120" w:after="40"/>
      </w:pPr>
      <w:r>
        <w:rPr>
          <w:b/>
          <w:color w:val="14295E"/>
          <w:sz w:val="21"/>
        </w:rPr>
        <w:t>2. КАК ЗАПОЛНЯТЬ</w:t>
      </w:r>
    </w:p>
    <w:p>
      <w:pPr>
        <w:spacing w:before="0" w:after="20"/>
      </w:pPr>
      <w:r>
        <w:rPr>
          <w:b/>
          <w:color w:val="EF3F23"/>
          <w:sz w:val="19"/>
        </w:rPr>
        <w:t xml:space="preserve">• </w:t>
      </w:r>
      <w:r>
        <w:rPr>
          <w:b w:val="0"/>
          <w:sz w:val="19"/>
        </w:rPr>
        <w:t>Заполнять только строки замеров. Шапку, названия листов и столбцов не менять; строки и столбцы не вставлять и не удалять.</w:t>
      </w:r>
    </w:p>
    <w:p>
      <w:pPr>
        <w:spacing w:before="0" w:after="20"/>
      </w:pPr>
      <w:r>
        <w:rPr>
          <w:b/>
          <w:color w:val="EF3F23"/>
          <w:sz w:val="19"/>
        </w:rPr>
        <w:t xml:space="preserve">• </w:t>
      </w:r>
      <w:r>
        <w:rPr>
          <w:b w:val="0"/>
          <w:sz w:val="19"/>
        </w:rPr>
        <w:t>Шифр скважины / марку выбирать из выпадающего списка (предзаполненные строки уже содержат шифры).</w:t>
      </w:r>
    </w:p>
    <w:p>
      <w:pPr>
        <w:spacing w:before="0" w:after="20"/>
      </w:pPr>
      <w:r>
        <w:rPr>
          <w:b/>
          <w:color w:val="EF3F23"/>
          <w:sz w:val="19"/>
        </w:rPr>
        <w:t xml:space="preserve">• </w:t>
      </w:r>
      <w:r>
        <w:rPr>
          <w:b w:val="0"/>
          <w:sz w:val="19"/>
        </w:rPr>
        <w:t>Дата — в формате ДД.ММ.ГГГГ (например, 18.01.2026).</w:t>
      </w:r>
    </w:p>
    <w:p>
      <w:pPr>
        <w:spacing w:before="0" w:after="20"/>
      </w:pPr>
      <w:r>
        <w:rPr>
          <w:b/>
          <w:color w:val="EF3F23"/>
          <w:sz w:val="19"/>
        </w:rPr>
        <w:t xml:space="preserve">• </w:t>
      </w:r>
      <w:r>
        <w:rPr>
          <w:b w:val="0"/>
          <w:sz w:val="19"/>
        </w:rPr>
        <w:t>Числа — с точкой или запятой (241,573 или 241.573). Отметки — в метрах; в журналах деформаций осадка считается формулой автоматически.</w:t>
      </w:r>
    </w:p>
    <w:p>
      <w:pPr>
        <w:spacing w:before="0" w:after="20"/>
      </w:pPr>
      <w:r>
        <w:rPr>
          <w:b/>
          <w:color w:val="EF3F23"/>
          <w:sz w:val="19"/>
        </w:rPr>
        <w:t xml:space="preserve">• </w:t>
      </w:r>
      <w:r>
        <w:rPr>
          <w:b w:val="0"/>
          <w:sz w:val="19"/>
        </w:rPr>
        <w:t>Нет замера — оставить ячейку пустой или поставить прочерк «-».</w:t>
      </w:r>
    </w:p>
    <w:p>
      <w:pPr>
        <w:spacing w:before="0" w:after="20"/>
      </w:pPr>
      <w:r>
        <w:rPr>
          <w:b/>
          <w:color w:val="EF3F23"/>
          <w:sz w:val="19"/>
        </w:rPr>
        <w:t xml:space="preserve">• </w:t>
      </w:r>
      <w:r>
        <w:rPr>
          <w:b w:val="0"/>
          <w:sz w:val="19"/>
        </w:rPr>
        <w:t>Файл НЕ переименовывать: шифр объекта в имени (2101, 2102, 2303) — по нему система автоматически определяет объект.</w:t>
      </w:r>
    </w:p>
    <w:p>
      <w:pPr>
        <w:spacing w:before="120" w:after="40"/>
      </w:pPr>
      <w:r>
        <w:rPr>
          <w:b/>
          <w:color w:val="14295E"/>
          <w:sz w:val="21"/>
        </w:rPr>
        <w:t>3. ПЕРИОДИЧНОСТЬ И ПЕРЕДАЧА</w:t>
      </w:r>
    </w:p>
    <w:p>
      <w:pPr>
        <w:spacing w:before="0" w:after="20"/>
      </w:pPr>
      <w:r>
        <w:rPr>
          <w:b/>
          <w:color w:val="EF3F23"/>
          <w:sz w:val="19"/>
        </w:rPr>
        <w:t xml:space="preserve">• </w:t>
      </w:r>
      <w:r>
        <w:rPr>
          <w:b w:val="0"/>
          <w:sz w:val="19"/>
        </w:rPr>
        <w:t>Замеры — по графику наблюдений, утверждённому главным инженером.</w:t>
      </w:r>
    </w:p>
    <w:p>
      <w:pPr>
        <w:spacing w:before="0" w:after="20"/>
      </w:pPr>
      <w:r>
        <w:rPr>
          <w:b/>
          <w:color w:val="EF3F23"/>
          <w:sz w:val="19"/>
        </w:rPr>
        <w:t xml:space="preserve">• </w:t>
      </w:r>
      <w:r>
        <w:rPr>
          <w:b w:val="0"/>
          <w:sz w:val="19"/>
        </w:rPr>
        <w:t>Ближайшие циклы и напоминания — в разделе «Центр контроля ГТМ» → «📅 График замеров КИА» (бейдж на кнопке раздела — за 7 дней до цикла).</w:t>
      </w:r>
    </w:p>
    <w:p>
      <w:pPr>
        <w:spacing w:before="0" w:after="20"/>
      </w:pPr>
      <w:r>
        <w:rPr>
          <w:b/>
          <w:color w:val="EF3F23"/>
          <w:sz w:val="19"/>
        </w:rPr>
        <w:t xml:space="preserve">• </w:t>
      </w:r>
      <w:r>
        <w:rPr>
          <w:b w:val="0"/>
          <w:sz w:val="19"/>
        </w:rPr>
        <w:t>Заполненный журнал передать ответственному за ГТМ (оператору системы) в течение 3 рабочих дней после цикла замеров.</w:t>
      </w:r>
    </w:p>
    <w:p>
      <w:pPr>
        <w:spacing w:before="0" w:after="20"/>
      </w:pPr>
      <w:r>
        <w:rPr>
          <w:b/>
          <w:color w:val="EF3F23"/>
          <w:sz w:val="19"/>
        </w:rPr>
        <w:t xml:space="preserve">• </w:t>
      </w:r>
      <w:r>
        <w:rPr>
          <w:b w:val="0"/>
          <w:sz w:val="19"/>
        </w:rPr>
        <w:t>Оператор с уровнем доступа «оператор» загружает файл на сайт самостоятельно: «Центр контроля ГТМ» → «Загрузка данных» → «Выбрать файл…»; затем в разделе «График замеров КИА» отмечает «✔ цикл выполнен».</w:t>
      </w:r>
    </w:p>
    <w:p>
      <w:pPr>
        <w:spacing w:before="0" w:after="20"/>
      </w:pPr>
      <w:r>
        <w:rPr>
          <w:b/>
          <w:color w:val="EF3F23"/>
          <w:sz w:val="19"/>
        </w:rPr>
        <w:t xml:space="preserve">• </w:t>
      </w:r>
      <w:r>
        <w:rPr>
          <w:b w:val="0"/>
          <w:sz w:val="19"/>
        </w:rPr>
        <w:t>После загрузки система показывает предпросмотр: число распознанных строк должно совпасть с числом строк замеров — это контроль правильности заполнения.</w:t>
      </w:r>
    </w:p>
    <w:p>
      <w:pPr>
        <w:spacing w:before="120" w:after="40"/>
      </w:pPr>
      <w:r>
        <w:rPr>
          <w:b/>
          <w:color w:val="14295E"/>
          <w:sz w:val="21"/>
        </w:rPr>
        <w:t>4. ТРЕВОГА ЛИВНЕВОГО ПРИТОКА (ГИДРОЛОГИЧЕСКИЙ РИСК)</w:t>
      </w:r>
    </w:p>
    <w:p>
      <w:pPr>
        <w:spacing w:before="0" w:after="20"/>
      </w:pPr>
      <w:r>
        <w:rPr>
          <w:b/>
          <w:color w:val="EF3F23"/>
          <w:sz w:val="19"/>
        </w:rPr>
        <w:t xml:space="preserve">• </w:t>
      </w:r>
      <w:r>
        <w:rPr>
          <w:b w:val="0"/>
          <w:sz w:val="19"/>
        </w:rPr>
        <w:t>Система ежесуточно пересчитывает прогноз притока талых и дождевых вод к объектам (метеопрогноз × модель стока по ЦМР). Тревога — красная полоса над картой и блок «🌊 Ливневый приток» в метеоконтроле; расшифровка — «Центр контроля ГТМ» → «🌊 Модель стока».</w:t>
      </w:r>
    </w:p>
    <w:p>
      <w:pPr>
        <w:spacing w:before="0" w:after="20"/>
      </w:pPr>
      <w:r>
        <w:rPr>
          <w:b/>
          <w:color w:val="EF3F23"/>
          <w:sz w:val="19"/>
        </w:rPr>
        <w:t xml:space="preserve">• </w:t>
      </w:r>
      <w:r>
        <w:rPr>
          <w:b w:val="0"/>
          <w:sz w:val="19"/>
        </w:rPr>
        <w:t>Тревоги действуют только когда сток физически возможен: переходы температуры через 0 °C весной и осенью (снеготаяние), дожди и ливни тёплого сезона. При устойчивом морозе талой воды нет — сток отсутствует, тревог не будет.</w:t>
      </w:r>
    </w:p>
    <w:p>
      <w:pPr>
        <w:spacing w:before="0" w:after="20"/>
      </w:pPr>
      <w:r>
        <w:rPr>
          <w:b/>
          <w:color w:val="EF3F23"/>
          <w:sz w:val="19"/>
        </w:rPr>
        <w:t xml:space="preserve">• </w:t>
      </w:r>
      <w:r>
        <w:rPr>
          <w:b w:val="0"/>
          <w:sz w:val="19"/>
        </w:rPr>
        <w:t>При тревоге — внеочередной осмотр объекта и водоотвода (отмостка, лотки, канавы, дренаж): в день тревоги и повторно после ливня или интенсивного снеготаяния.</w:t>
      </w:r>
    </w:p>
    <w:p>
      <w:pPr>
        <w:spacing w:before="0" w:after="20"/>
      </w:pPr>
      <w:r>
        <w:rPr>
          <w:b/>
          <w:color w:val="EF3F23"/>
          <w:sz w:val="19"/>
        </w:rPr>
        <w:t xml:space="preserve">• </w:t>
      </w:r>
      <w:r>
        <w:rPr>
          <w:b w:val="0"/>
          <w:sz w:val="19"/>
        </w:rPr>
        <w:t>Направления стока у объекта — на карте: слой «🌊 Расчётная гидросеть»; кнопка «⌖ Показать водосбор на карте» в блоке «💧 Гидрологический расчёт» карточки объекта сама центрирует карту и включает этот слой.</w:t>
      </w:r>
    </w:p>
    <w:p>
      <w:pPr>
        <w:spacing w:before="0" w:after="20"/>
      </w:pPr>
      <w:r>
        <w:rPr>
          <w:b/>
          <w:color w:val="EF3F23"/>
          <w:sz w:val="19"/>
        </w:rPr>
        <w:t xml:space="preserve">• </w:t>
      </w:r>
      <w:r>
        <w:rPr>
          <w:b w:val="0"/>
          <w:sz w:val="19"/>
        </w:rPr>
        <w:t>Подтопление, застой воды, размыв — зафиксировать в журнале осмотров и сообщить оператору (ответственному за ГТМ) в день обнаружения.</w:t>
      </w:r>
    </w:p>
    <w:p>
      <w:pPr>
        <w:spacing w:before="120" w:after="40"/>
      </w:pPr>
      <w:r>
        <w:rPr>
          <w:b/>
          <w:color w:val="14295E"/>
          <w:sz w:val="21"/>
        </w:rPr>
        <w:t>5. ЧТО НЕЛЬЗЯ</w:t>
      </w:r>
    </w:p>
    <w:p>
      <w:pPr>
        <w:spacing w:before="0" w:after="20"/>
      </w:pPr>
      <w:r>
        <w:rPr>
          <w:b/>
          <w:color w:val="EF3F23"/>
          <w:sz w:val="19"/>
        </w:rPr>
        <w:t xml:space="preserve">• </w:t>
      </w:r>
      <w:r>
        <w:rPr>
          <w:b w:val="0"/>
          <w:sz w:val="19"/>
        </w:rPr>
        <w:t>Менять структуру файла, объединять ячейки, добавлять формулы вне предусмотренных столбцов.</w:t>
      </w:r>
    </w:p>
    <w:p>
      <w:pPr>
        <w:spacing w:before="0" w:after="20"/>
      </w:pPr>
      <w:r>
        <w:rPr>
          <w:b/>
          <w:color w:val="EF3F23"/>
          <w:sz w:val="19"/>
        </w:rPr>
        <w:t xml:space="preserve">• </w:t>
      </w:r>
      <w:r>
        <w:rPr>
          <w:b w:val="0"/>
          <w:sz w:val="19"/>
        </w:rPr>
        <w:t>Присылать фото или сканы рукописных журналов вместо файла Excel — они не распознаются автоматически.</w:t>
      </w:r>
    </w:p>
    <w:p>
      <w:pPr>
        <w:spacing w:before="160" w:after="0"/>
      </w:pPr>
      <w:r>
        <w:rPr>
          <w:b w:val="0"/>
          <w:color w:val="555F6E"/>
          <w:sz w:val="18"/>
        </w:rPr>
        <w:t>Вопросы и замечания — ответственному за ГТМ зданий и сооружений.</w:t>
      </w:r>
    </w:p>
    <w:p>
      <w:pPr>
        <w:spacing w:before="40" w:after="0"/>
      </w:pPr>
      <w:r>
        <w:rPr>
          <w:b w:val="0"/>
          <w:color w:val="555F6E"/>
          <w:sz w:val="16"/>
        </w:rPr>
        <w:t>ГТМ зданий и сооружений · ООО «Черногорская ГРК» · aniigb.github.io/gis-chgrk-gtm</w:t>
      </w:r>
    </w:p>
    <w:sectPr w:rsidR="00FC693F" w:rsidRPr="0006063C" w:rsidSect="00034616">
      <w:pgSz w:w="11906" w:h="16838"/>
      <w:pgMar w:top="680" w:right="794" w:bottom="56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 w:eastAsia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