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2600"/>
      </w:pPr>
      <w:r>
        <w:rPr>
          <w:rFonts w:ascii="Calibri" w:cs="Calibri" w:eastAsia="Calibri" w:hAnsi="Calibri"/>
          <w:b/>
          <w:bCs/>
          <w:color w:val="2A9D8F"/>
          <w:spacing w:val="40"/>
          <w:sz w:val="22"/>
          <w:szCs w:val="22"/>
        </w:rPr>
        <w:t xml:space="preserve">GLOBAL MART  |  RETAIL ORDERS ANALYTICS</w:t>
      </w:r>
    </w:p>
    <w:p>
      <w:pPr>
        <w:spacing w:after="160"/>
      </w:pPr>
      <w:r>
        <w:rPr>
          <w:rFonts w:ascii="Calibri" w:cs="Calibri" w:eastAsia="Calibri" w:hAnsi="Calibri"/>
          <w:b/>
          <w:bCs/>
          <w:color w:val="1F3A5F"/>
          <w:sz w:val="60"/>
          <w:szCs w:val="60"/>
        </w:rPr>
        <w:t xml:space="preserve">Solution Guide</w:t>
      </w:r>
    </w:p>
    <w:p>
      <w:pPr>
        <w:pBdr>
          <w:bottom w:val="single" w:color="2A9D8F" w:sz="12" w:space="8"/>
        </w:pBdr>
        <w:spacing w:after="400"/>
      </w:pPr>
      <w:r>
        <w:rPr>
          <w:rFonts w:ascii="Calibri" w:cs="Calibri" w:eastAsia="Calibri" w:hAnsi="Calibri"/>
          <w:color w:val="52606D"/>
          <w:sz w:val="26"/>
          <w:szCs w:val="26"/>
        </w:rPr>
        <w:t xml:space="preserve">Retail Orders &amp; Global Mart Sales Analytics - Complete Step-by-Step Solution</w:t>
      </w:r>
    </w:p>
    <w:p>
      <w:pPr>
        <w:spacing w:after="60"/>
      </w:pPr>
      <w:r>
        <w:rPr>
          <w:rFonts w:ascii="Calibri" w:cs="Calibri" w:eastAsia="Calibri" w:hAnsi="Calibri"/>
          <w:color w:val="52606D"/>
          <w:sz w:val="21"/>
          <w:szCs w:val="21"/>
        </w:rPr>
        <w:t xml:space="preserve">Tools: Python (Pandas, Kaggle API)  |  SQL  |  Power BI</w:t>
      </w:r>
    </w:p>
    <w:p>
      <w:pPr>
        <w:spacing w:after="60"/>
      </w:pPr>
      <w:r>
        <w:rPr>
          <w:rFonts w:ascii="Calibri" w:cs="Calibri" w:eastAsia="Calibri" w:hAnsi="Calibri"/>
          <w:color w:val="52606D"/>
          <w:sz w:val="21"/>
          <w:szCs w:val="21"/>
        </w:rPr>
        <w:t xml:space="preserve">Dataset: Global Mart retail orders, 9,994 order lines, Jan 2022 - Dec 2023</w:t>
      </w:r>
    </w:p>
    <w:p>
      <w:r>
        <w:br w:type="page"/>
      </w:r>
    </w:p>
    <w:p>
      <w:pPr>
        <w:pStyle w:val="Heading1"/>
        <w:spacing w:after="140" w:before="320"/>
      </w:pPr>
      <w:r>
        <w:rPr>
          <w:rFonts w:ascii="Calibri" w:cs="Calibri" w:eastAsia="Calibri" w:hAnsi="Calibri"/>
          <w:b/>
          <w:bCs/>
          <w:color w:val="1F3A5F"/>
          <w:sz w:val="32"/>
          <w:szCs w:val="32"/>
        </w:rPr>
        <w:t xml:space="preserve">1. What Is in the Pack and How to Run It</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FFF4E5" w:sz="4"/>
              <w:left w:val="single" w:color="E76F51" w:sz="24"/>
              <w:bottom w:val="single" w:color="FFF4E5" w:sz="4"/>
              <w:right w:val="single" w:color="FFF4E5" w:sz="4"/>
            </w:tcBorders>
            <w:shd w:fill="FFF4E5" w:color="auto" w:val="clear"/>
            <w:tcMar>
              <w:top w:type="dxa" w:w="100"/>
              <w:left w:type="dxa" w:w="160"/>
              <w:bottom w:type="dxa" w:w="100"/>
              <w:right w:type="dxa" w:w="160"/>
            </w:tcMar>
          </w:tcPr>
          <w:p>
            <w:pPr>
              <w:spacing w:after="40"/>
            </w:pPr>
            <w:r>
              <w:rPr>
                <w:rFonts w:ascii="Calibri" w:cs="Calibri" w:eastAsia="Calibri" w:hAnsi="Calibri"/>
                <w:b/>
                <w:bCs/>
                <w:color w:val="E76F51"/>
                <w:sz w:val="21"/>
                <w:szCs w:val="21"/>
              </w:rPr>
              <w:t xml:space="preserve">Read this first: what is real and what is synthetic</w:t>
            </w:r>
          </w:p>
          <w:p>
            <w:pPr>
              <w:spacing w:after="40" w:line="264"/>
            </w:pPr>
            <w:r>
              <w:rPr>
                <w:rFonts w:ascii="Calibri" w:cs="Calibri" w:eastAsia="Calibri" w:hAnsi="Calibri"/>
                <w:b/>
                <w:bCs/>
                <w:sz w:val="21"/>
                <w:szCs w:val="21"/>
              </w:rPr>
              <w:t xml:space="preserve">The dataset is synthetic.</w:t>
            </w:r>
            <w:r>
              <w:rPr>
                <w:rFonts w:ascii="Calibri" w:cs="Calibri" w:eastAsia="Calibri" w:hAnsi="Calibri"/>
                <w:sz w:val="21"/>
                <w:szCs w:val="21"/>
              </w:rPr>
              <w:t xml:space="preserve"> I could not download the original Kaggle file from this environment, so data/orders.csv was generated to the same 16-column schema, naming quirks and dirty ship-mode values as </w:t>
            </w:r>
            <w:r>
              <w:rPr>
                <w:rFonts w:ascii="Consolas" w:cs="Consolas" w:eastAsia="Consolas" w:hAnsi="Consolas"/>
                <w:color w:val="1F3A5F"/>
                <w:sz w:val="19"/>
                <w:szCs w:val="19"/>
              </w:rPr>
              <w:t xml:space="preserve">ankitbansal06/retail-orders</w:t>
            </w:r>
            <w:r>
              <w:rPr>
                <w:rFonts w:ascii="Calibri" w:cs="Calibri" w:eastAsia="Calibri" w:hAnsi="Calibri"/>
                <w:sz w:val="21"/>
                <w:szCs w:val="21"/>
              </w:rPr>
              <w:t xml:space="preserve"> (9,994 rows, Jan 2022 - Dec 2023). All numbers in this guide come from that file and will not match the original Kaggle data.</w:t>
            </w:r>
          </w:p>
          <w:p>
            <w:pPr>
              <w:spacing w:after="40" w:line="264"/>
            </w:pPr>
            <w:r>
              <w:rPr>
                <w:rFonts w:ascii="Calibri" w:cs="Calibri" w:eastAsia="Calibri" w:hAnsi="Calibri"/>
                <w:b/>
                <w:bCs/>
                <w:sz w:val="21"/>
                <w:szCs w:val="21"/>
              </w:rPr>
              <w:t xml:space="preserve">What was tested:</w:t>
            </w:r>
            <w:r>
              <w:rPr>
                <w:rFonts w:ascii="Calibri" w:cs="Calibri" w:eastAsia="Calibri" w:hAnsi="Calibri"/>
                <w:sz w:val="21"/>
                <w:szCs w:val="21"/>
              </w:rPr>
              <w:t xml:space="preserve"> the Python pipeline and all 19 SQL queries were executed end to end on SQLite. The SQL is written in portable ANSI SQL for SQL Server / PostgreSQL / MySQL 8, but I did not run it on SQL Server itself. The Power BI file (.pbix) cannot be generated outside Power BI Desktop, so section 4 gives an exact build recipe plus ready-to-paste M, DAX and theme files.</w:t>
            </w:r>
          </w:p>
        </w:tc>
      </w:tr>
    </w:tbl>
    <w:p>
      <w:pPr>
        <w:pStyle w:val="Heading2"/>
        <w:spacing w:after="100" w:before="240"/>
      </w:pPr>
      <w:r>
        <w:rPr>
          <w:rFonts w:ascii="Calibri" w:cs="Calibri" w:eastAsia="Calibri" w:hAnsi="Calibri"/>
          <w:b/>
          <w:bCs/>
          <w:color w:val="2A9D8F"/>
          <w:sz w:val="26"/>
          <w:szCs w:val="26"/>
        </w:rPr>
        <w:t xml:space="preserve">1.1 Folder structure</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Retail_Orders_Project/</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README.md</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data/</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orders.csv                 &lt;- RAW dataset (9,994 rows, 16 columns, dirty ship_mode)</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orders.csv.zip             &lt;- same file zipped, as Kaggle delivers it</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orders_cleaned.csv         &lt;- output of step 1 (32 columns)</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globalmart.db              &lt;- SQLite database created by step 1</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sql_results/Q01..Q19.csv   &lt;- result of every SQL query</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scripts/</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generate_raw_dataset.py    &lt;- rebuilds the synthetic raw file (seed 42)</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ingest_and_clean.py        &lt;- Kaggle API -&gt; unzip -&gt; clean -&gt; engineer -&gt; validate -&gt; SQL</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run_sql_pack.py            &lt;- runs all 19 queries and saves results</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build_reference_charts.py  &lt;- reference chart images</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sql/</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01_create_table_sqlserver.sql</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02_analysis_queries.sql</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powerbi/</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01_power_query_m.txt   02_dax_measures.txt   03_theme_globalmart.json</w:t>
      </w:r>
    </w:p>
    <w:p>
      <w:pPr>
        <w:keepNext w:val="false"/>
        <w:keepLines/>
        <w:pBdr>
          <w:left w:val="single" w:color="2A9D8F" w:sz="12" w:space="6"/>
        </w:pBdr>
        <w:shd w:fill="F3F4F6" w:color="auto" w:val="clear"/>
        <w:spacing w:after="0" w:line="228"/>
        <w:ind w:left="120"/>
      </w:pPr>
      <w:r>
        <w:rPr>
          <w:rFonts w:ascii="Consolas" w:cs="Consolas" w:eastAsia="Consolas" w:hAnsi="Consolas"/>
          <w:sz w:val="17"/>
          <w:szCs w:val="17"/>
        </w:rPr>
        <w:t xml:space="preserve">  docs/  01_Project_Requirements.docx   02_Solution_Guide.docx</w:t>
      </w:r>
    </w:p>
    <w:p>
      <w:pPr>
        <w:spacing w:after="80"/>
      </w:pPr>
    </w:p>
    <w:p>
      <w:pPr>
        <w:pStyle w:val="Heading2"/>
        <w:spacing w:after="100" w:before="240"/>
      </w:pPr>
      <w:r>
        <w:rPr>
          <w:rFonts w:ascii="Calibri" w:cs="Calibri" w:eastAsia="Calibri" w:hAnsi="Calibri"/>
          <w:b/>
          <w:bCs/>
          <w:color w:val="2A9D8F"/>
          <w:sz w:val="26"/>
          <w:szCs w:val="26"/>
        </w:rPr>
        <w:t xml:space="preserve">1.2 Run order</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pip install pandas numpy sqlalchemy kaggle pyodbc</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1) (optional) rebuild the synthetic raw file</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python scripts/generate_raw_dataset.py</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2) ingest -&gt; unzip -&gt; clean -&gt; engineer -&gt; validate -&gt; load to SQL</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python scripts/ingest_and_clean.py --source local      # bundled file, works offline</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python scripts/ingest_and_clean.py --source kaggle     # real Kaggle file (needs API token)</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2b) load into SQL Server instead of SQLite</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python scripts/ingest_and_clean.py --source local --db "mssql+pyodbc://@localhost/GlobalMart?driver=ODBC+Driver+17+for+SQL+Server&amp;trusted_connection=yes"</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3) run the SQL pack on SQLite and save every result</w:t>
      </w:r>
    </w:p>
    <w:p>
      <w:pPr>
        <w:keepNext w:val="false"/>
        <w:keepLines/>
        <w:pBdr>
          <w:left w:val="single" w:color="2A9D8F" w:sz="12" w:space="6"/>
        </w:pBdr>
        <w:shd w:fill="F3F4F6" w:color="auto" w:val="clear"/>
        <w:spacing w:after="0" w:line="228"/>
        <w:ind w:left="120"/>
      </w:pPr>
      <w:r>
        <w:rPr>
          <w:rFonts w:ascii="Consolas" w:cs="Consolas" w:eastAsia="Consolas" w:hAnsi="Consolas"/>
          <w:sz w:val="17"/>
          <w:szCs w:val="17"/>
        </w:rPr>
        <w:t xml:space="preserve">python scripts/run_sql_pack.py</w:t>
      </w:r>
    </w:p>
    <w:p>
      <w:pPr>
        <w:spacing w:after="80"/>
      </w:pPr>
    </w:p>
    <w:p>
      <w:pPr>
        <w:pStyle w:val="Heading1"/>
        <w:spacing w:after="140" w:before="320"/>
      </w:pPr>
      <w:r>
        <w:rPr>
          <w:rFonts w:ascii="Calibri" w:cs="Calibri" w:eastAsia="Calibri" w:hAnsi="Calibri"/>
          <w:b/>
          <w:bCs/>
          <w:color w:val="1F3A5F"/>
          <w:sz w:val="32"/>
          <w:szCs w:val="32"/>
        </w:rPr>
        <w:t xml:space="preserve">2. Step 1 - Python: Ingest, Clean, Engineer, Load</w:t>
      </w:r>
    </w:p>
    <w:p>
      <w:pPr>
        <w:spacing w:after="100" w:line="276"/>
      </w:pPr>
      <w:r>
        <w:rPr>
          <w:rFonts w:ascii="Calibri" w:cs="Calibri" w:eastAsia="Calibri" w:hAnsi="Calibri"/>
          <w:sz w:val="21"/>
          <w:szCs w:val="21"/>
        </w:rPr>
        <w:t xml:space="preserve">The script </w:t>
      </w:r>
      <w:r>
        <w:rPr>
          <w:rFonts w:ascii="Consolas" w:cs="Consolas" w:eastAsia="Consolas" w:hAnsi="Consolas"/>
          <w:color w:val="1F3A5F"/>
          <w:sz w:val="19"/>
          <w:szCs w:val="19"/>
        </w:rPr>
        <w:t xml:space="preserve">scripts/ingest_and_clean.py</w:t>
      </w:r>
      <w:r>
        <w:rPr>
          <w:rFonts w:ascii="Calibri" w:cs="Calibri" w:eastAsia="Calibri" w:hAnsi="Calibri"/>
          <w:sz w:val="21"/>
          <w:szCs w:val="21"/>
        </w:rPr>
        <w:t xml:space="preserve"> follows the six bullets in the project process. Each stage is a function so you can explain and test it separately.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94"/>
        <w:gridCol w:w="1292"/>
        <w:gridCol w:w="4475"/>
        <w:gridCol w:w="2985"/>
      </w:tblGrid>
      <w:tr>
        <w:trPr>
          <w:cantSplit/>
          <w:tblHeader/>
        </w:trPr>
        <w:tc>
          <w:tcPr>
            <w:tcW w:type="dxa" w:w="994"/>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Stage</w:t>
            </w:r>
          </w:p>
        </w:tc>
        <w:tc>
          <w:tcPr>
            <w:tcW w:type="dxa" w:w="1292"/>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Function</w:t>
            </w:r>
          </w:p>
        </w:tc>
        <w:tc>
          <w:tcPr>
            <w:tcW w:type="dxa" w:w="4475"/>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What it does</w:t>
            </w:r>
          </w:p>
        </w:tc>
        <w:tc>
          <w:tcPr>
            <w:tcW w:type="dxa" w:w="2985"/>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Why</w:t>
            </w:r>
          </w:p>
        </w:tc>
      </w:tr>
      <w:tr>
        <w:trPr>
          <w:cantSplit/>
        </w:trPr>
        <w:tc>
          <w:tcPr>
            <w:tcW w:type="dxa" w:w="99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Ingest</w:t>
            </w:r>
          </w:p>
        </w:tc>
        <w:tc>
          <w:tcPr>
            <w:tcW w:type="dxa" w:w="129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ingest()</w:t>
            </w:r>
          </w:p>
        </w:tc>
        <w:tc>
          <w:tcPr>
            <w:tcW w:type="dxa" w:w="447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Authenticates with the Kaggle API (kaggle.json or env vars) and downloads orders.csv; </w:t>
            </w:r>
            <w:r>
              <w:rPr>
                <w:rFonts w:ascii="Consolas" w:cs="Consolas" w:eastAsia="Consolas" w:hAnsi="Consolas"/>
                <w:color w:val="1F3A5F"/>
                <w:sz w:val="16"/>
                <w:szCs w:val="16"/>
              </w:rPr>
              <w:t xml:space="preserve">--source local</w:t>
            </w:r>
            <w:r>
              <w:rPr>
                <w:rFonts w:ascii="Calibri" w:cs="Calibri" w:eastAsia="Calibri" w:hAnsi="Calibri"/>
                <w:sz w:val="17"/>
                <w:szCs w:val="17"/>
              </w:rPr>
              <w:t xml:space="preserve"> uses the bundled zip</w:t>
            </w:r>
          </w:p>
        </w:tc>
        <w:tc>
          <w:tcPr>
            <w:tcW w:type="dxa" w:w="298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Reproducible, token-based access instead of manual download</w:t>
            </w:r>
          </w:p>
        </w:tc>
      </w:tr>
      <w:tr>
        <w:trPr>
          <w:cantSplit/>
        </w:trPr>
        <w:tc>
          <w:tcPr>
            <w:tcW w:type="dxa" w:w="99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Unzip</w:t>
            </w:r>
          </w:p>
        </w:tc>
        <w:tc>
          <w:tcPr>
            <w:tcW w:type="dxa" w:w="129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unzip()</w:t>
            </w:r>
          </w:p>
        </w:tc>
        <w:tc>
          <w:tcPr>
            <w:tcW w:type="dxa" w:w="447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Extracts the archive with </w:t>
            </w:r>
            <w:r>
              <w:rPr>
                <w:rFonts w:ascii="Consolas" w:cs="Consolas" w:eastAsia="Consolas" w:hAnsi="Consolas"/>
                <w:color w:val="1F3A5F"/>
                <w:sz w:val="16"/>
                <w:szCs w:val="16"/>
              </w:rPr>
              <w:t xml:space="preserve">zipfile</w:t>
            </w:r>
            <w:r>
              <w:rPr>
                <w:rFonts w:ascii="Calibri" w:cs="Calibri" w:eastAsia="Calibri" w:hAnsi="Calibri"/>
                <w:sz w:val="17"/>
                <w:szCs w:val="17"/>
              </w:rPr>
              <w:t xml:space="preserve">; passes through a plain CSV untouched</w:t>
            </w:r>
          </w:p>
        </w:tc>
        <w:tc>
          <w:tcPr>
            <w:tcW w:type="dxa" w:w="298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Kaggle delivers a zip</w:t>
            </w:r>
          </w:p>
        </w:tc>
      </w:tr>
      <w:tr>
        <w:trPr>
          <w:cantSplit/>
        </w:trPr>
        <w:tc>
          <w:tcPr>
            <w:tcW w:type="dxa" w:w="99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Clean</w:t>
            </w:r>
          </w:p>
        </w:tc>
        <w:tc>
          <w:tcPr>
            <w:tcW w:type="dxa" w:w="129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clean()</w:t>
            </w:r>
          </w:p>
        </w:tc>
        <w:tc>
          <w:tcPr>
            <w:tcW w:type="dxa" w:w="447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Reads with </w:t>
            </w:r>
            <w:r>
              <w:rPr>
                <w:rFonts w:ascii="Consolas" w:cs="Consolas" w:eastAsia="Consolas" w:hAnsi="Consolas"/>
                <w:color w:val="1F3A5F"/>
                <w:sz w:val="16"/>
                <w:szCs w:val="16"/>
              </w:rPr>
              <w:t xml:space="preserve">na_values=['Not Available','unknown']</w:t>
            </w:r>
            <w:r>
              <w:rPr>
                <w:rFonts w:ascii="Calibri" w:cs="Calibri" w:eastAsia="Calibri" w:hAnsi="Calibri"/>
                <w:sz w:val="17"/>
                <w:szCs w:val="17"/>
              </w:rPr>
              <w:t xml:space="preserve">, renames columns to snake_case, trims text, fills missing ship_mode with 'Unknown', casts dates / numbers, restores 5-digit ZIPs, drops duplicate order ids</w:t>
            </w:r>
          </w:p>
        </w:tc>
        <w:tc>
          <w:tcPr>
            <w:tcW w:type="dxa" w:w="298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Fake values would otherwise appear as extra ship-mode categories in Power BI</w:t>
            </w:r>
          </w:p>
        </w:tc>
      </w:tr>
      <w:tr>
        <w:trPr>
          <w:cantSplit/>
        </w:trPr>
        <w:tc>
          <w:tcPr>
            <w:tcW w:type="dxa" w:w="99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Engineer</w:t>
            </w:r>
          </w:p>
        </w:tc>
        <w:tc>
          <w:tcPr>
            <w:tcW w:type="dxa" w:w="129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engineer()</w:t>
            </w:r>
          </w:p>
        </w:tc>
        <w:tc>
          <w:tcPr>
            <w:tcW w:type="dxa" w:w="447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Builds discount, sale_price, profit, gross / net revenue, total_profit, margin %, date parts, loss flag and discount band</w:t>
            </w:r>
          </w:p>
        </w:tc>
        <w:tc>
          <w:tcPr>
            <w:tcW w:type="dxa" w:w="298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One definition of every money field for Python, SQL and Power BI</w:t>
            </w:r>
          </w:p>
        </w:tc>
      </w:tr>
      <w:tr>
        <w:trPr>
          <w:cantSplit/>
        </w:trPr>
        <w:tc>
          <w:tcPr>
            <w:tcW w:type="dxa" w:w="99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Validate</w:t>
            </w:r>
          </w:p>
        </w:tc>
        <w:tc>
          <w:tcPr>
            <w:tcW w:type="dxa" w:w="129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validate()</w:t>
            </w:r>
          </w:p>
        </w:tc>
        <w:tc>
          <w:tcPr>
            <w:tcW w:type="dxa" w:w="447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10 assertions (unique ids, no nulls in key columns, price and quantity ranges, sale_price &lt;= list_price, no fake ship modes, one category per sub-category)</w:t>
            </w:r>
          </w:p>
        </w:tc>
        <w:tc>
          <w:tcPr>
            <w:tcW w:type="dxa" w:w="298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Stops a bad load before it reaches the database</w:t>
            </w:r>
          </w:p>
        </w:tc>
      </w:tr>
      <w:tr>
        <w:trPr>
          <w:cantSplit/>
        </w:trPr>
        <w:tc>
          <w:tcPr>
            <w:tcW w:type="dxa" w:w="99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Load</w:t>
            </w:r>
          </w:p>
        </w:tc>
        <w:tc>
          <w:tcPr>
            <w:tcW w:type="dxa" w:w="129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load_to_sql()</w:t>
            </w:r>
          </w:p>
        </w:tc>
        <w:tc>
          <w:tcPr>
            <w:tcW w:type="dxa" w:w="447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Writes table df_orders via SQLAlchemy (SQLite by default; SQL Server, PostgreSQL, MySQL via a URL)</w:t>
            </w:r>
          </w:p>
        </w:tc>
        <w:tc>
          <w:tcPr>
            <w:tcW w:type="dxa" w:w="298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Relational store for SQL analysis and Power BI</w:t>
            </w:r>
          </w:p>
        </w:tc>
      </w:tr>
    </w:tbl>
    <w:p>
      <w:pPr>
        <w:pStyle w:val="Heading2"/>
        <w:spacing w:after="100" w:before="240"/>
      </w:pPr>
      <w:r>
        <w:rPr>
          <w:rFonts w:ascii="Calibri" w:cs="Calibri" w:eastAsia="Calibri" w:hAnsi="Calibri"/>
          <w:b/>
          <w:bCs/>
          <w:color w:val="2A9D8F"/>
          <w:sz w:val="26"/>
          <w:szCs w:val="26"/>
        </w:rPr>
        <w:t xml:space="preserve">2.1 The key cleaning code</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treat the dataset's two fake values as missing when reading</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df = pd.read_csv(csv_path, na_values=["Not Available", "unknown", "N/A",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standard column names:  'Ship Mode' -&gt; 'ship_mode',  'cost price' -&gt; 'cost_price'</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df.columns = df.columns.str.strip().str.lower().str.replace(" ", "_", regex=False)</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missing ship mode -&gt; explicit bucket (keeps the order and its revenue)</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df["ship_mode"] = df["ship_mode"].fillna("Unknown")</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df["order_date"]  = pd.to_datetime(df["order_date"], format="%Y-%m-%d")</w:t>
      </w:r>
    </w:p>
    <w:p>
      <w:pPr>
        <w:keepNext w:val="false"/>
        <w:keepLines/>
        <w:pBdr>
          <w:left w:val="single" w:color="2A9D8F" w:sz="12" w:space="6"/>
        </w:pBdr>
        <w:shd w:fill="F3F4F6" w:color="auto" w:val="clear"/>
        <w:spacing w:after="0" w:line="228"/>
        <w:ind w:left="120"/>
      </w:pPr>
      <w:r>
        <w:rPr>
          <w:rFonts w:ascii="Consolas" w:cs="Consolas" w:eastAsia="Consolas" w:hAnsi="Consolas"/>
          <w:sz w:val="17"/>
          <w:szCs w:val="17"/>
        </w:rPr>
        <w:t xml:space="preserve">df["postal_code"] = df["postal_code"].astype(str).str.zfill(5)   # 2110 -&gt; 02110</w:t>
      </w:r>
    </w:p>
    <w:p>
      <w:pPr>
        <w:spacing w:after="80"/>
      </w:pPr>
    </w:p>
    <w:p>
      <w:pPr>
        <w:pStyle w:val="Heading2"/>
        <w:spacing w:after="100" w:before="240"/>
      </w:pPr>
      <w:r>
        <w:rPr>
          <w:rFonts w:ascii="Calibri" w:cs="Calibri" w:eastAsia="Calibri" w:hAnsi="Calibri"/>
          <w:b/>
          <w:bCs/>
          <w:color w:val="2A9D8F"/>
          <w:sz w:val="26"/>
          <w:szCs w:val="26"/>
        </w:rPr>
        <w:t xml:space="preserve">2.2 Feature engineering</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df["discount"]   = (df["list_price"] * df["discount_percent"] / 100).round(2)</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df["sale_price"] = (df["list_price"] - df["discount"]).round(2)</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df["profit"]     = (df["sale_price"] - df["cost_price"]).round(2)</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df["gross_revenue"]   = df["list_price"] * df["quantity"]      # PRE-discount</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df["discount_amount"] = df["discount"]   * df["quantity"]</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df["net_revenue"]     = df["sale_price"] * df["quantity"]      # POST-discount</w:t>
      </w:r>
    </w:p>
    <w:p>
      <w:pPr>
        <w:keepNext w:val="false"/>
        <w:keepLines/>
        <w:pBdr>
          <w:left w:val="single" w:color="2A9D8F" w:sz="12" w:space="6"/>
        </w:pBdr>
        <w:shd w:fill="F3F4F6" w:color="auto" w:val="clear"/>
        <w:spacing w:after="0" w:line="228"/>
        <w:ind w:left="120"/>
      </w:pPr>
      <w:r>
        <w:rPr>
          <w:rFonts w:ascii="Consolas" w:cs="Consolas" w:eastAsia="Consolas" w:hAnsi="Consolas"/>
          <w:sz w:val="17"/>
          <w:szCs w:val="17"/>
        </w:rPr>
        <w:t xml:space="preserve">df["total_profit"]    = df["profit"]     * df["quantity"]</w:t>
      </w:r>
    </w:p>
    <w:p>
      <w:pPr>
        <w:spacing w:after="80"/>
      </w:pPr>
    </w:p>
    <w:p>
      <w:pPr>
        <w:pStyle w:val="Heading2"/>
        <w:spacing w:after="100" w:before="240"/>
      </w:pPr>
      <w:r>
        <w:rPr>
          <w:rFonts w:ascii="Calibri" w:cs="Calibri" w:eastAsia="Calibri" w:hAnsi="Calibri"/>
          <w:b/>
          <w:bCs/>
          <w:color w:val="2A9D8F"/>
          <w:sz w:val="26"/>
          <w:szCs w:val="26"/>
        </w:rPr>
        <w:t xml:space="preserve">2.3 Output of the run on the bundled file</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[clean] rows read=9,994 | ship_mode fixed=96 | duplicate order_id removed=0</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[validate] PASS  (all 10 checks)</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[load] 9,994 rows -&gt; table 'df_orders'</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[summary]  orders 9,994 | 2022-01-01 -&gt; 2023-12-31</w:t>
      </w:r>
    </w:p>
    <w:p>
      <w:pPr>
        <w:keepNext w:val="false"/>
        <w:keepLines/>
        <w:pBdr>
          <w:left w:val="single" w:color="2A9D8F" w:sz="12" w:space="6"/>
        </w:pBdr>
        <w:shd w:fill="F3F4F6" w:color="auto" w:val="clear"/>
        <w:spacing w:after="0" w:line="228"/>
        <w:ind w:left="120"/>
      </w:pPr>
      <w:r>
        <w:rPr>
          <w:rFonts w:ascii="Consolas" w:cs="Consolas" w:eastAsia="Consolas" w:hAnsi="Consolas"/>
          <w:sz w:val="17"/>
          <w:szCs w:val="17"/>
        </w:rPr>
        <w:t xml:space="preserve">           gross revenue 3,184,594 | net revenue 3,061,720 | total profit 867,219</w:t>
      </w:r>
    </w:p>
    <w:p>
      <w:pPr>
        <w:spacing w:after="80"/>
      </w:pPr>
    </w:p>
    <w:p>
      <w:pPr>
        <w:spacing w:after="100" w:line="276"/>
      </w:pPr>
      <w:r>
        <w:rPr>
          <w:rFonts w:ascii="Calibri" w:cs="Calibri" w:eastAsia="Calibri" w:hAnsi="Calibri"/>
          <w:sz w:val="21"/>
          <w:szCs w:val="21"/>
        </w:rPr>
        <w:t xml:space="preserve">The 96 repaired ship-mode rows are the injected dirty values: 38 'Not Available', 32 'unknown' and 26 blank.</w:t>
      </w:r>
    </w:p>
    <w:p>
      <w:pPr>
        <w:pStyle w:val="Heading1"/>
        <w:spacing w:after="140" w:before="320"/>
      </w:pPr>
      <w:r>
        <w:rPr>
          <w:rFonts w:ascii="Calibri" w:cs="Calibri" w:eastAsia="Calibri" w:hAnsi="Calibri"/>
          <w:b/>
          <w:bCs/>
          <w:color w:val="1F3A5F"/>
          <w:sz w:val="32"/>
          <w:szCs w:val="32"/>
        </w:rPr>
        <w:t xml:space="preserve">3. Step 2 - SQL Analysis</w:t>
      </w:r>
    </w:p>
    <w:p>
      <w:pPr>
        <w:spacing w:after="100" w:line="276"/>
      </w:pPr>
      <w:r>
        <w:rPr>
          <w:rFonts w:ascii="Calibri" w:cs="Calibri" w:eastAsia="Calibri" w:hAnsi="Calibri"/>
          <w:sz w:val="21"/>
          <w:szCs w:val="21"/>
        </w:rPr>
        <w:t xml:space="preserve">File: </w:t>
      </w:r>
      <w:r>
        <w:rPr>
          <w:rFonts w:ascii="Consolas" w:cs="Consolas" w:eastAsia="Consolas" w:hAnsi="Consolas"/>
          <w:color w:val="1F3A5F"/>
          <w:sz w:val="19"/>
          <w:szCs w:val="19"/>
        </w:rPr>
        <w:t xml:space="preserve">sql/02_analysis_queries.sql</w:t>
      </w:r>
      <w:r>
        <w:rPr>
          <w:rFonts w:ascii="Calibri" w:cs="Calibri" w:eastAsia="Calibri" w:hAnsi="Calibri"/>
          <w:sz w:val="21"/>
          <w:szCs w:val="21"/>
        </w:rPr>
        <w:t xml:space="preserve"> (19 titled queries). Table: </w:t>
      </w:r>
      <w:r>
        <w:rPr>
          <w:rFonts w:ascii="Consolas" w:cs="Consolas" w:eastAsia="Consolas" w:hAnsi="Consolas"/>
          <w:color w:val="1F3A5F"/>
          <w:sz w:val="19"/>
          <w:szCs w:val="19"/>
        </w:rPr>
        <w:t xml:space="preserve">df_orders</w:t>
      </w:r>
      <w:r>
        <w:rPr>
          <w:rFonts w:ascii="Calibri" w:cs="Calibri" w:eastAsia="Calibri" w:hAnsi="Calibri"/>
          <w:sz w:val="21"/>
          <w:szCs w:val="21"/>
        </w:rPr>
        <w:t xml:space="preserve">. For SQL Server run </w:t>
      </w:r>
      <w:r>
        <w:rPr>
          <w:rFonts w:ascii="Consolas" w:cs="Consolas" w:eastAsia="Consolas" w:hAnsi="Consolas"/>
          <w:color w:val="1F3A5F"/>
          <w:sz w:val="19"/>
          <w:szCs w:val="19"/>
        </w:rPr>
        <w:t xml:space="preserve">sql/01_create_table_sqlserver.sql</w:t>
      </w:r>
      <w:r>
        <w:rPr>
          <w:rFonts w:ascii="Calibri" w:cs="Calibri" w:eastAsia="Calibri" w:hAnsi="Calibri"/>
          <w:sz w:val="21"/>
          <w:szCs w:val="21"/>
        </w:rPr>
        <w:t xml:space="preserve"> first if you want explicit data types, then set </w:t>
      </w:r>
      <w:r>
        <w:rPr>
          <w:rFonts w:ascii="Consolas" w:cs="Consolas" w:eastAsia="Consolas" w:hAnsi="Consolas"/>
          <w:color w:val="1F3A5F"/>
          <w:sz w:val="19"/>
          <w:szCs w:val="19"/>
        </w:rPr>
        <w:t xml:space="preserve">if_exists="append"</w:t>
      </w:r>
      <w:r>
        <w:rPr>
          <w:rFonts w:ascii="Calibri" w:cs="Calibri" w:eastAsia="Calibri" w:hAnsi="Calibri"/>
          <w:sz w:val="21"/>
          <w:szCs w:val="21"/>
        </w:rPr>
        <w:t xml:space="preserve"> in the loader. Top-N is done with </w:t>
      </w:r>
      <w:r>
        <w:rPr>
          <w:rFonts w:ascii="Consolas" w:cs="Consolas" w:eastAsia="Consolas" w:hAnsi="Consolas"/>
          <w:color w:val="1F3A5F"/>
          <w:sz w:val="19"/>
          <w:szCs w:val="19"/>
        </w:rPr>
        <w:t xml:space="preserve">ROW_NUMBER()</w:t>
      </w:r>
      <w:r>
        <w:rPr>
          <w:rFonts w:ascii="Calibri" w:cs="Calibri" w:eastAsia="Calibri" w:hAnsi="Calibri"/>
          <w:sz w:val="21"/>
          <w:szCs w:val="21"/>
        </w:rPr>
        <w:t xml:space="preserve"> so no </w:t>
      </w:r>
      <w:r>
        <w:rPr>
          <w:rFonts w:ascii="Consolas" w:cs="Consolas" w:eastAsia="Consolas" w:hAnsi="Consolas"/>
          <w:color w:val="1F3A5F"/>
          <w:sz w:val="19"/>
          <w:szCs w:val="19"/>
        </w:rPr>
        <w:t xml:space="preserve">TOP</w:t>
      </w:r>
      <w:r>
        <w:rPr>
          <w:rFonts w:ascii="Calibri" w:cs="Calibri" w:eastAsia="Calibri" w:hAnsi="Calibri"/>
          <w:sz w:val="21"/>
          <w:szCs w:val="21"/>
        </w:rPr>
        <w:t xml:space="preserve"> / </w:t>
      </w:r>
      <w:r>
        <w:rPr>
          <w:rFonts w:ascii="Consolas" w:cs="Consolas" w:eastAsia="Consolas" w:hAnsi="Consolas"/>
          <w:color w:val="1F3A5F"/>
          <w:sz w:val="19"/>
          <w:szCs w:val="19"/>
        </w:rPr>
        <w:t xml:space="preserve">LIMIT</w:t>
      </w:r>
      <w:r>
        <w:rPr>
          <w:rFonts w:ascii="Calibri" w:cs="Calibri" w:eastAsia="Calibri" w:hAnsi="Calibri"/>
          <w:sz w:val="21"/>
          <w:szCs w:val="21"/>
        </w:rPr>
        <w:t xml:space="preserve"> is needed.</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328"/>
        <w:gridCol w:w="6644"/>
        <w:gridCol w:w="1774"/>
      </w:tblGrid>
      <w:tr>
        <w:trPr>
          <w:cantSplit/>
          <w:tblHeader/>
        </w:trPr>
        <w:tc>
          <w:tcPr>
            <w:tcW w:type="dxa" w:w="1328"/>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Query</w:t>
            </w:r>
          </w:p>
        </w:tc>
        <w:tc>
          <w:tcPr>
            <w:tcW w:type="dxa" w:w="6644"/>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Purpose</w:t>
            </w:r>
          </w:p>
        </w:tc>
        <w:tc>
          <w:tcPr>
            <w:tcW w:type="dxa" w:w="1774"/>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Business question</w:t>
            </w:r>
          </w:p>
        </w:tc>
      </w:tr>
      <w:tr>
        <w:trPr>
          <w:cantSplit/>
        </w:trPr>
        <w:tc>
          <w:tcPr>
            <w:tcW w:type="dxa" w:w="132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Q01</w:t>
            </w:r>
          </w:p>
        </w:tc>
        <w:tc>
          <w:tcPr>
            <w:tcW w:type="dxa" w:w="664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Row count, distinct orders, unknown ship modes, date range</w:t>
            </w:r>
          </w:p>
        </w:tc>
        <w:tc>
          <w:tcPr>
            <w:tcW w:type="dxa" w:w="177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Data quality</w:t>
            </w:r>
          </w:p>
        </w:tc>
      </w:tr>
      <w:tr>
        <w:trPr>
          <w:cantSplit/>
        </w:trPr>
        <w:tc>
          <w:tcPr>
            <w:tcW w:type="dxa" w:w="132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Q02</w:t>
            </w:r>
          </w:p>
        </w:tc>
        <w:tc>
          <w:tcPr>
            <w:tcW w:type="dxa" w:w="664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Total orders, units, pre-discount revenue, discount, post-discount revenue, profit, rates</w:t>
            </w:r>
          </w:p>
        </w:tc>
        <w:tc>
          <w:tcPr>
            <w:tcW w:type="dxa" w:w="177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BQ1, BQ2</w:t>
            </w:r>
          </w:p>
        </w:tc>
      </w:tr>
      <w:tr>
        <w:trPr>
          <w:cantSplit/>
        </w:trPr>
        <w:tc>
          <w:tcPr>
            <w:tcW w:type="dxa" w:w="132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Q03-Q04</w:t>
            </w:r>
          </w:p>
        </w:tc>
        <w:tc>
          <w:tcPr>
            <w:tcW w:type="dxa" w:w="664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Revenue and profit by year and by month</w:t>
            </w:r>
          </w:p>
        </w:tc>
        <w:tc>
          <w:tcPr>
            <w:tcW w:type="dxa" w:w="177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BQ1, BQ3</w:t>
            </w:r>
          </w:p>
        </w:tc>
      </w:tr>
      <w:tr>
        <w:trPr>
          <w:cantSplit/>
        </w:trPr>
        <w:tc>
          <w:tcPr>
            <w:tcW w:type="dxa" w:w="132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Q05-Q06</w:t>
            </w:r>
          </w:p>
        </w:tc>
        <w:tc>
          <w:tcPr>
            <w:tcW w:type="dxa" w:w="664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Top 10 products by revenue and by profit</w:t>
            </w:r>
          </w:p>
        </w:tc>
        <w:tc>
          <w:tcPr>
            <w:tcW w:type="dxa" w:w="177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BQ4</w:t>
            </w:r>
          </w:p>
        </w:tc>
      </w:tr>
      <w:tr>
        <w:trPr>
          <w:cantSplit/>
        </w:trPr>
        <w:tc>
          <w:tcPr>
            <w:tcW w:type="dxa" w:w="132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Q07</w:t>
            </w:r>
          </w:p>
        </w:tc>
        <w:tc>
          <w:tcPr>
            <w:tcW w:type="dxa" w:w="664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Top 5 products in each region (partitioned window)</w:t>
            </w:r>
          </w:p>
        </w:tc>
        <w:tc>
          <w:tcPr>
            <w:tcW w:type="dxa" w:w="177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BQ5</w:t>
            </w:r>
          </w:p>
        </w:tc>
      </w:tr>
      <w:tr>
        <w:trPr>
          <w:cantSplit/>
        </w:trPr>
        <w:tc>
          <w:tcPr>
            <w:tcW w:type="dxa" w:w="132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Q08-Q10</w:t>
            </w:r>
          </w:p>
        </w:tc>
        <w:tc>
          <w:tcPr>
            <w:tcW w:type="dxa" w:w="664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Regional totals, city ranking, segment x region matrix</w:t>
            </w:r>
          </w:p>
        </w:tc>
        <w:tc>
          <w:tcPr>
            <w:tcW w:type="dxa" w:w="177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BQ6</w:t>
            </w:r>
          </w:p>
        </w:tc>
      </w:tr>
      <w:tr>
        <w:trPr>
          <w:cantSplit/>
        </w:trPr>
        <w:tc>
          <w:tcPr>
            <w:tcW w:type="dxa" w:w="132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Q11</w:t>
            </w:r>
          </w:p>
        </w:tc>
        <w:tc>
          <w:tcPr>
            <w:tcW w:type="dxa" w:w="664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Ship mode orders, share, order value, margin</w:t>
            </w:r>
          </w:p>
        </w:tc>
        <w:tc>
          <w:tcPr>
            <w:tcW w:type="dxa" w:w="177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BQ7</w:t>
            </w:r>
          </w:p>
        </w:tc>
      </w:tr>
      <w:tr>
        <w:trPr>
          <w:cantSplit/>
        </w:trPr>
        <w:tc>
          <w:tcPr>
            <w:tcW w:type="dxa" w:w="132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Q12-Q13</w:t>
            </w:r>
          </w:p>
        </w:tc>
        <w:tc>
          <w:tcPr>
            <w:tcW w:type="dxa" w:w="664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Discount rate vs margin by category and sub-category</w:t>
            </w:r>
          </w:p>
        </w:tc>
        <w:tc>
          <w:tcPr>
            <w:tcW w:type="dxa" w:w="177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BQ8</w:t>
            </w:r>
          </w:p>
        </w:tc>
      </w:tr>
      <w:tr>
        <w:trPr>
          <w:cantSplit/>
        </w:trPr>
        <w:tc>
          <w:tcPr>
            <w:tcW w:type="dxa" w:w="132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Q14</w:t>
            </w:r>
          </w:p>
        </w:tc>
        <w:tc>
          <w:tcPr>
            <w:tcW w:type="dxa" w:w="664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Discount effectiveness: units, margin and loss lines per discount level</w:t>
            </w:r>
          </w:p>
        </w:tc>
        <w:tc>
          <w:tcPr>
            <w:tcW w:type="dxa" w:w="177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BQ9</w:t>
            </w:r>
          </w:p>
        </w:tc>
      </w:tr>
      <w:tr>
        <w:trPr>
          <w:cantSplit/>
        </w:trPr>
        <w:tc>
          <w:tcPr>
            <w:tcW w:type="dxa" w:w="132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Q15</w:t>
            </w:r>
          </w:p>
        </w:tc>
        <w:tc>
          <w:tcPr>
            <w:tcW w:type="dxa" w:w="664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Loss-making products</w:t>
            </w:r>
          </w:p>
        </w:tc>
        <w:tc>
          <w:tcPr>
            <w:tcW w:type="dxa" w:w="177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BQ10</w:t>
            </w:r>
          </w:p>
        </w:tc>
      </w:tr>
      <w:tr>
        <w:trPr>
          <w:cantSplit/>
        </w:trPr>
        <w:tc>
          <w:tcPr>
            <w:tcW w:type="dxa" w:w="132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Q16-Q18</w:t>
            </w:r>
          </w:p>
        </w:tc>
        <w:tc>
          <w:tcPr>
            <w:tcW w:type="dxa" w:w="664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2022 vs 2023 by month, peak month per category, fastest profit growth</w:t>
            </w:r>
          </w:p>
        </w:tc>
        <w:tc>
          <w:tcPr>
            <w:tcW w:type="dxa" w:w="177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BQ3, BQ11</w:t>
            </w:r>
          </w:p>
        </w:tc>
      </w:tr>
      <w:tr>
        <w:trPr>
          <w:cantSplit/>
        </w:trPr>
        <w:tc>
          <w:tcPr>
            <w:tcW w:type="dxa" w:w="132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Q19</w:t>
            </w:r>
          </w:p>
        </w:tc>
        <w:tc>
          <w:tcPr>
            <w:tcW w:type="dxa" w:w="664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Sub-categories ranked by share of deeply discounted lines with their margin</w:t>
            </w:r>
          </w:p>
        </w:tc>
        <w:tc>
          <w:tcPr>
            <w:tcW w:type="dxa" w:w="177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BQ12</w:t>
            </w:r>
          </w:p>
        </w:tc>
      </w:tr>
    </w:tbl>
    <w:p>
      <w:pPr>
        <w:pStyle w:val="Heading2"/>
        <w:spacing w:after="100" w:before="240"/>
      </w:pPr>
      <w:r>
        <w:rPr>
          <w:rFonts w:ascii="Calibri" w:cs="Calibri" w:eastAsia="Calibri" w:hAnsi="Calibri"/>
          <w:b/>
          <w:bCs/>
          <w:color w:val="2A9D8F"/>
          <w:sz w:val="26"/>
          <w:szCs w:val="26"/>
        </w:rPr>
        <w:t xml:space="preserve">3.1 Example queries</w:t>
      </w:r>
    </w:p>
    <w:p>
      <w:pPr>
        <w:pStyle w:val="Heading3"/>
        <w:spacing w:after="80" w:before="180"/>
      </w:pPr>
      <w:r>
        <w:rPr>
          <w:rFonts w:ascii="Calibri" w:cs="Calibri" w:eastAsia="Calibri" w:hAnsi="Calibri"/>
          <w:b/>
          <w:bCs/>
          <w:color w:val="1F3A5F"/>
          <w:sz w:val="22"/>
          <w:szCs w:val="22"/>
        </w:rPr>
        <w:t xml:space="preserve">Q02 - Headline KPIs (pre vs post discount)</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SELECT COUNT(*)                                   AS total_orders,</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SUM(quantity)                              AS total_units,</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ROUND(SUM(gross_revenue), 2)               AS revenue_pre_discount,</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ROUND(SUM(discount_amount), 2)             AS total_discount_given,</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ROUND(SUM(net_revenue), 2)                 AS revenue_post_discount,</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ROUND(SUM(total_profit), 2)                AS total_profit,</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ROUND(100.0 * SUM(discount_amount) / SUM(gross_revenue), 2) AS discount_rate_pct,</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ROUND(100.0 * SUM(total_profit)    / SUM(net_revenue),   2) AS profit_margin_pct</w:t>
      </w:r>
    </w:p>
    <w:p>
      <w:pPr>
        <w:keepNext w:val="false"/>
        <w:keepLines/>
        <w:pBdr>
          <w:left w:val="single" w:color="2A9D8F" w:sz="12" w:space="6"/>
        </w:pBdr>
        <w:shd w:fill="F3F4F6" w:color="auto" w:val="clear"/>
        <w:spacing w:after="0" w:line="228"/>
        <w:ind w:left="120"/>
      </w:pPr>
      <w:r>
        <w:rPr>
          <w:rFonts w:ascii="Consolas" w:cs="Consolas" w:eastAsia="Consolas" w:hAnsi="Consolas"/>
          <w:sz w:val="17"/>
          <w:szCs w:val="17"/>
        </w:rPr>
        <w:t xml:space="preserve">FROM   df_orders;</w:t>
      </w:r>
    </w:p>
    <w:p>
      <w:pPr>
        <w:spacing w:after="80"/>
      </w:pPr>
    </w:p>
    <w:p>
      <w:pPr>
        <w:pStyle w:val="Heading3"/>
        <w:spacing w:after="80" w:before="180"/>
      </w:pPr>
      <w:r>
        <w:rPr>
          <w:rFonts w:ascii="Calibri" w:cs="Calibri" w:eastAsia="Calibri" w:hAnsi="Calibri"/>
          <w:b/>
          <w:bCs/>
          <w:color w:val="1F3A5F"/>
          <w:sz w:val="22"/>
          <w:szCs w:val="22"/>
        </w:rPr>
        <w:t xml:space="preserve">Q07 - Top 5 products in each region</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WITH region_product AS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SELECT region, product_id, SUM(net_revenue) AS revenue</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FROM   df_orders</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GROUP  BY region, product_id</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ranked AS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SELECT *, ROW_NUMBER() OVER (PARTITION BY region ORDER BY revenue DESC) AS rn</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FROM   region_product</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SELECT region, rn AS rank_no, product_id, ROUND(revenue, 2) AS revenue</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FROM   ranked WHERE rn &lt;= 5</w:t>
      </w:r>
    </w:p>
    <w:p>
      <w:pPr>
        <w:keepNext w:val="false"/>
        <w:keepLines/>
        <w:pBdr>
          <w:left w:val="single" w:color="2A9D8F" w:sz="12" w:space="6"/>
        </w:pBdr>
        <w:shd w:fill="F3F4F6" w:color="auto" w:val="clear"/>
        <w:spacing w:after="0" w:line="228"/>
        <w:ind w:left="120"/>
      </w:pPr>
      <w:r>
        <w:rPr>
          <w:rFonts w:ascii="Consolas" w:cs="Consolas" w:eastAsia="Consolas" w:hAnsi="Consolas"/>
          <w:sz w:val="17"/>
          <w:szCs w:val="17"/>
        </w:rPr>
        <w:t xml:space="preserve">ORDER  BY region, rn;</w:t>
      </w:r>
    </w:p>
    <w:p>
      <w:pPr>
        <w:spacing w:after="80"/>
      </w:pPr>
    </w:p>
    <w:p>
      <w:pPr>
        <w:pStyle w:val="Heading3"/>
        <w:spacing w:after="80" w:before="180"/>
      </w:pPr>
      <w:r>
        <w:rPr>
          <w:rFonts w:ascii="Calibri" w:cs="Calibri" w:eastAsia="Calibri" w:hAnsi="Calibri"/>
          <w:b/>
          <w:bCs/>
          <w:color w:val="1F3A5F"/>
          <w:sz w:val="22"/>
          <w:szCs w:val="22"/>
        </w:rPr>
        <w:t xml:space="preserve">Q16 - 2022 vs 2023 by month (conditional-aggregation pivot)</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WITH monthly AS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SELECT order_month,</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SUM(CASE WHEN order_year = 2022 THEN net_revenue ELSE 0 END) AS sales_2022,</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SUM(CASE WHEN order_year = 2023 THEN net_revenue ELSE 0 END) AS sales_2023</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FROM   df_orders GROUP BY order_month</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SELECT order_month, ROUND(sales_2022,2) AS sales_2022, ROUND(sales_2023,2) AS sales_2023,</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ROUND(100.0 * (sales_2023 - sales_2022) / sales_2022, 2) AS yoy_growth_pct</w:t>
      </w:r>
    </w:p>
    <w:p>
      <w:pPr>
        <w:keepNext w:val="false"/>
        <w:keepLines/>
        <w:pBdr>
          <w:left w:val="single" w:color="2A9D8F" w:sz="12" w:space="6"/>
        </w:pBdr>
        <w:shd w:fill="F3F4F6" w:color="auto" w:val="clear"/>
        <w:spacing w:after="0" w:line="228"/>
        <w:ind w:left="120"/>
      </w:pPr>
      <w:r>
        <w:rPr>
          <w:rFonts w:ascii="Consolas" w:cs="Consolas" w:eastAsia="Consolas" w:hAnsi="Consolas"/>
          <w:sz w:val="17"/>
          <w:szCs w:val="17"/>
        </w:rPr>
        <w:t xml:space="preserve">FROM   monthly ORDER BY order_month;</w:t>
      </w:r>
    </w:p>
    <w:p>
      <w:pPr>
        <w:spacing w:after="80"/>
      </w:pPr>
    </w:p>
    <w:p>
      <w:pPr>
        <w:pStyle w:val="Heading2"/>
        <w:spacing w:after="100" w:before="240"/>
      </w:pPr>
      <w:r>
        <w:rPr>
          <w:rFonts w:ascii="Calibri" w:cs="Calibri" w:eastAsia="Calibri" w:hAnsi="Calibri"/>
          <w:b/>
          <w:bCs/>
          <w:color w:val="2A9D8F"/>
          <w:sz w:val="26"/>
          <w:szCs w:val="26"/>
        </w:rPr>
        <w:t xml:space="preserve">3.2 Results on the bundled dataset</w:t>
      </w:r>
    </w:p>
    <w:p>
      <w:pPr>
        <w:pStyle w:val="Heading3"/>
        <w:spacing w:after="80" w:before="180"/>
      </w:pPr>
      <w:r>
        <w:rPr>
          <w:rFonts w:ascii="Calibri" w:cs="Calibri" w:eastAsia="Calibri" w:hAnsi="Calibri"/>
          <w:b/>
          <w:bCs/>
          <w:color w:val="1F3A5F"/>
          <w:sz w:val="22"/>
          <w:szCs w:val="22"/>
        </w:rPr>
        <w:t xml:space="preserve">Q02 - Headline KPIs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5569"/>
        <w:gridCol w:w="4177"/>
      </w:tblGrid>
      <w:tr>
        <w:trPr>
          <w:cantSplit/>
          <w:tblHeader/>
        </w:trPr>
        <w:tc>
          <w:tcPr>
            <w:tcW w:type="dxa" w:w="5569"/>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Measure</w:t>
            </w:r>
          </w:p>
        </w:tc>
        <w:tc>
          <w:tcPr>
            <w:tcW w:type="dxa" w:w="4177"/>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8"/>
                <w:szCs w:val="18"/>
              </w:rPr>
              <w:t xml:space="preserve">Value</w:t>
            </w:r>
          </w:p>
        </w:tc>
      </w:tr>
      <w:tr>
        <w:trPr>
          <w:cantSplit/>
        </w:trPr>
        <w:tc>
          <w:tcPr>
            <w:tcW w:type="dxa" w:w="556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total orders</w:t>
            </w:r>
          </w:p>
        </w:tc>
        <w:tc>
          <w:tcPr>
            <w:tcW w:type="dxa" w:w="417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8"/>
                <w:szCs w:val="18"/>
              </w:rPr>
              <w:t xml:space="preserve">9,994</w:t>
            </w:r>
          </w:p>
        </w:tc>
      </w:tr>
      <w:tr>
        <w:trPr>
          <w:cantSplit/>
        </w:trPr>
        <w:tc>
          <w:tcPr>
            <w:tcW w:type="dxa" w:w="556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total units</w:t>
            </w:r>
          </w:p>
        </w:tc>
        <w:tc>
          <w:tcPr>
            <w:tcW w:type="dxa" w:w="417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8"/>
                <w:szCs w:val="18"/>
              </w:rPr>
              <w:t xml:space="preserve">31,675</w:t>
            </w:r>
          </w:p>
        </w:tc>
      </w:tr>
      <w:tr>
        <w:trPr>
          <w:cantSplit/>
        </w:trPr>
        <w:tc>
          <w:tcPr>
            <w:tcW w:type="dxa" w:w="556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revenue pre discount</w:t>
            </w:r>
          </w:p>
        </w:tc>
        <w:tc>
          <w:tcPr>
            <w:tcW w:type="dxa" w:w="417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8"/>
                <w:szCs w:val="18"/>
              </w:rPr>
              <w:t xml:space="preserve">3,184,594.00</w:t>
            </w:r>
          </w:p>
        </w:tc>
      </w:tr>
      <w:tr>
        <w:trPr>
          <w:cantSplit/>
        </w:trPr>
        <w:tc>
          <w:tcPr>
            <w:tcW w:type="dxa" w:w="556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total discount given</w:t>
            </w:r>
          </w:p>
        </w:tc>
        <w:tc>
          <w:tcPr>
            <w:tcW w:type="dxa" w:w="417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8"/>
                <w:szCs w:val="18"/>
              </w:rPr>
              <w:t xml:space="preserve">122,874.48</w:t>
            </w:r>
          </w:p>
        </w:tc>
      </w:tr>
      <w:tr>
        <w:trPr>
          <w:cantSplit/>
        </w:trPr>
        <w:tc>
          <w:tcPr>
            <w:tcW w:type="dxa" w:w="556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revenue post discount</w:t>
            </w:r>
          </w:p>
        </w:tc>
        <w:tc>
          <w:tcPr>
            <w:tcW w:type="dxa" w:w="417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8"/>
                <w:szCs w:val="18"/>
              </w:rPr>
              <w:t xml:space="preserve">3,061,719.52</w:t>
            </w:r>
          </w:p>
        </w:tc>
      </w:tr>
      <w:tr>
        <w:trPr>
          <w:cantSplit/>
        </w:trPr>
        <w:tc>
          <w:tcPr>
            <w:tcW w:type="dxa" w:w="556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total profit</w:t>
            </w:r>
          </w:p>
        </w:tc>
        <w:tc>
          <w:tcPr>
            <w:tcW w:type="dxa" w:w="417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8"/>
                <w:szCs w:val="18"/>
              </w:rPr>
              <w:t xml:space="preserve">867,218.52</w:t>
            </w:r>
          </w:p>
        </w:tc>
      </w:tr>
      <w:tr>
        <w:trPr>
          <w:cantSplit/>
        </w:trPr>
        <w:tc>
          <w:tcPr>
            <w:tcW w:type="dxa" w:w="556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discount rate pct</w:t>
            </w:r>
          </w:p>
        </w:tc>
        <w:tc>
          <w:tcPr>
            <w:tcW w:type="dxa" w:w="417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8"/>
                <w:szCs w:val="18"/>
              </w:rPr>
              <w:t xml:space="preserve">3.86</w:t>
            </w:r>
          </w:p>
        </w:tc>
      </w:tr>
      <w:tr>
        <w:trPr>
          <w:cantSplit/>
        </w:trPr>
        <w:tc>
          <w:tcPr>
            <w:tcW w:type="dxa" w:w="556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profit margin pct</w:t>
            </w:r>
          </w:p>
        </w:tc>
        <w:tc>
          <w:tcPr>
            <w:tcW w:type="dxa" w:w="417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8"/>
                <w:szCs w:val="18"/>
              </w:rPr>
              <w:t xml:space="preserve">28.32</w:t>
            </w:r>
          </w:p>
        </w:tc>
      </w:tr>
      <w:tr>
        <w:trPr>
          <w:cantSplit/>
        </w:trPr>
        <w:tc>
          <w:tcPr>
            <w:tcW w:type="dxa" w:w="556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avg order value</w:t>
            </w:r>
          </w:p>
        </w:tc>
        <w:tc>
          <w:tcPr>
            <w:tcW w:type="dxa" w:w="417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8"/>
                <w:szCs w:val="18"/>
              </w:rPr>
              <w:t xml:space="preserve">306.36</w:t>
            </w:r>
          </w:p>
        </w:tc>
      </w:tr>
    </w:tbl>
    <w:p>
      <w:pPr>
        <w:pStyle w:val="Heading3"/>
        <w:spacing w:after="80" w:before="180"/>
      </w:pPr>
      <w:r>
        <w:rPr>
          <w:rFonts w:ascii="Calibri" w:cs="Calibri" w:eastAsia="Calibri" w:hAnsi="Calibri"/>
          <w:b/>
          <w:bCs/>
          <w:color w:val="1F3A5F"/>
          <w:sz w:val="22"/>
          <w:szCs w:val="22"/>
        </w:rPr>
        <w:t xml:space="preserve">Q03 - By year</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60"/>
        <w:gridCol w:w="1160"/>
        <w:gridCol w:w="1160"/>
        <w:gridCol w:w="1740"/>
        <w:gridCol w:w="1740"/>
        <w:gridCol w:w="1624"/>
        <w:gridCol w:w="1162"/>
      </w:tblGrid>
      <w:tr>
        <w:trPr>
          <w:cantSplit/>
          <w:tblHeader/>
        </w:trPr>
        <w:tc>
          <w:tcPr>
            <w:tcW w:type="dxa" w:w="1160"/>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order year</w:t>
            </w:r>
          </w:p>
        </w:tc>
        <w:tc>
          <w:tcPr>
            <w:tcW w:type="dxa" w:w="1160"/>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orders</w:t>
            </w:r>
          </w:p>
        </w:tc>
        <w:tc>
          <w:tcPr>
            <w:tcW w:type="dxa" w:w="1160"/>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units</w:t>
            </w:r>
          </w:p>
        </w:tc>
        <w:tc>
          <w:tcPr>
            <w:tcW w:type="dxa" w:w="1740"/>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revenue pre discount</w:t>
            </w:r>
          </w:p>
        </w:tc>
        <w:tc>
          <w:tcPr>
            <w:tcW w:type="dxa" w:w="1740"/>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revenue post discount</w:t>
            </w:r>
          </w:p>
        </w:tc>
        <w:tc>
          <w:tcPr>
            <w:tcW w:type="dxa" w:w="1624"/>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total profit</w:t>
            </w:r>
          </w:p>
        </w:tc>
        <w:tc>
          <w:tcPr>
            <w:tcW w:type="dxa" w:w="1162"/>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margin pct</w:t>
            </w:r>
          </w:p>
        </w:tc>
      </w:tr>
      <w:tr>
        <w:trPr>
          <w:cantSplit/>
        </w:trPr>
        <w:tc>
          <w:tcPr>
            <w:tcW w:type="dxa" w:w="116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2022</w:t>
            </w:r>
          </w:p>
        </w:tc>
        <w:tc>
          <w:tcPr>
            <w:tcW w:type="dxa" w:w="116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4,570</w:t>
            </w:r>
          </w:p>
        </w:tc>
        <w:tc>
          <w:tcPr>
            <w:tcW w:type="dxa" w:w="116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14,450</w:t>
            </w:r>
          </w:p>
        </w:tc>
        <w:tc>
          <w:tcPr>
            <w:tcW w:type="dxa" w:w="174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1,416,478.00</w:t>
            </w:r>
          </w:p>
        </w:tc>
        <w:tc>
          <w:tcPr>
            <w:tcW w:type="dxa" w:w="174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1,361,916.25</w:t>
            </w:r>
          </w:p>
        </w:tc>
        <w:tc>
          <w:tcPr>
            <w:tcW w:type="dxa" w:w="162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392,188.25</w:t>
            </w:r>
          </w:p>
        </w:tc>
        <w:tc>
          <w:tcPr>
            <w:tcW w:type="dxa" w:w="116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28.80</w:t>
            </w:r>
          </w:p>
        </w:tc>
      </w:tr>
      <w:tr>
        <w:trPr>
          <w:cantSplit/>
        </w:trPr>
        <w:tc>
          <w:tcPr>
            <w:tcW w:type="dxa" w:w="116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2023</w:t>
            </w:r>
          </w:p>
        </w:tc>
        <w:tc>
          <w:tcPr>
            <w:tcW w:type="dxa" w:w="116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5,424</w:t>
            </w:r>
          </w:p>
        </w:tc>
        <w:tc>
          <w:tcPr>
            <w:tcW w:type="dxa" w:w="116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17,225</w:t>
            </w:r>
          </w:p>
        </w:tc>
        <w:tc>
          <w:tcPr>
            <w:tcW w:type="dxa" w:w="174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1,768,116.00</w:t>
            </w:r>
          </w:p>
        </w:tc>
        <w:tc>
          <w:tcPr>
            <w:tcW w:type="dxa" w:w="174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1,699,803.27</w:t>
            </w:r>
          </w:p>
        </w:tc>
        <w:tc>
          <w:tcPr>
            <w:tcW w:type="dxa" w:w="162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475,030.27</w:t>
            </w:r>
          </w:p>
        </w:tc>
        <w:tc>
          <w:tcPr>
            <w:tcW w:type="dxa" w:w="116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27.95</w:t>
            </w:r>
          </w:p>
        </w:tc>
      </w:tr>
    </w:tbl>
    <w:p>
      <w:pPr>
        <w:pStyle w:val="Heading3"/>
        <w:spacing w:after="80" w:before="180"/>
      </w:pPr>
      <w:r>
        <w:rPr>
          <w:rFonts w:ascii="Calibri" w:cs="Calibri" w:eastAsia="Calibri" w:hAnsi="Calibri"/>
          <w:b/>
          <w:bCs/>
          <w:color w:val="1F3A5F"/>
          <w:sz w:val="22"/>
          <w:szCs w:val="22"/>
        </w:rPr>
        <w:t xml:space="preserve">Q08 - Regional totals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128"/>
        <w:gridCol w:w="923"/>
        <w:gridCol w:w="1538"/>
        <w:gridCol w:w="1538"/>
        <w:gridCol w:w="1333"/>
        <w:gridCol w:w="1128"/>
        <w:gridCol w:w="1025"/>
        <w:gridCol w:w="1133"/>
      </w:tblGrid>
      <w:tr>
        <w:trPr>
          <w:cantSplit/>
          <w:tblHeader/>
        </w:trPr>
        <w:tc>
          <w:tcPr>
            <w:tcW w:type="dxa" w:w="1128"/>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region</w:t>
            </w:r>
          </w:p>
        </w:tc>
        <w:tc>
          <w:tcPr>
            <w:tcW w:type="dxa" w:w="923"/>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orders</w:t>
            </w:r>
          </w:p>
        </w:tc>
        <w:tc>
          <w:tcPr>
            <w:tcW w:type="dxa" w:w="1538"/>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revenue pre discount</w:t>
            </w:r>
          </w:p>
        </w:tc>
        <w:tc>
          <w:tcPr>
            <w:tcW w:type="dxa" w:w="1538"/>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revenue post discount</w:t>
            </w:r>
          </w:p>
        </w:tc>
        <w:tc>
          <w:tcPr>
            <w:tcW w:type="dxa" w:w="1333"/>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total profit</w:t>
            </w:r>
          </w:p>
        </w:tc>
        <w:tc>
          <w:tcPr>
            <w:tcW w:type="dxa" w:w="1128"/>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discount rate pct</w:t>
            </w:r>
          </w:p>
        </w:tc>
        <w:tc>
          <w:tcPr>
            <w:tcW w:type="dxa" w:w="1025"/>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margin pct</w:t>
            </w:r>
          </w:p>
        </w:tc>
        <w:tc>
          <w:tcPr>
            <w:tcW w:type="dxa" w:w="1133"/>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share of total pct</w:t>
            </w:r>
          </w:p>
        </w:tc>
      </w:tr>
      <w:tr>
        <w:trPr>
          <w:cantSplit/>
        </w:trPr>
        <w:tc>
          <w:tcPr>
            <w:tcW w:type="dxa" w:w="112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West</w:t>
            </w:r>
          </w:p>
        </w:tc>
        <w:tc>
          <w:tcPr>
            <w:tcW w:type="dxa" w:w="92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2,956</w:t>
            </w:r>
          </w:p>
        </w:tc>
        <w:tc>
          <w:tcPr>
            <w:tcW w:type="dxa" w:w="153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924,514.00</w:t>
            </w:r>
          </w:p>
        </w:tc>
        <w:tc>
          <w:tcPr>
            <w:tcW w:type="dxa" w:w="153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889,856.69</w:t>
            </w:r>
          </w:p>
        </w:tc>
        <w:tc>
          <w:tcPr>
            <w:tcW w:type="dxa" w:w="133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252,531.69</w:t>
            </w:r>
          </w:p>
        </w:tc>
        <w:tc>
          <w:tcPr>
            <w:tcW w:type="dxa" w:w="112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3.75</w:t>
            </w:r>
          </w:p>
        </w:tc>
        <w:tc>
          <w:tcPr>
            <w:tcW w:type="dxa" w:w="102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28.38</w:t>
            </w:r>
          </w:p>
        </w:tc>
        <w:tc>
          <w:tcPr>
            <w:tcW w:type="dxa" w:w="113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29.06</w:t>
            </w:r>
          </w:p>
        </w:tc>
      </w:tr>
      <w:tr>
        <w:trPr>
          <w:cantSplit/>
        </w:trPr>
        <w:tc>
          <w:tcPr>
            <w:tcW w:type="dxa" w:w="112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Central</w:t>
            </w:r>
          </w:p>
        </w:tc>
        <w:tc>
          <w:tcPr>
            <w:tcW w:type="dxa" w:w="92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2,828</w:t>
            </w:r>
          </w:p>
        </w:tc>
        <w:tc>
          <w:tcPr>
            <w:tcW w:type="dxa" w:w="153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858,034.00</w:t>
            </w:r>
          </w:p>
        </w:tc>
        <w:tc>
          <w:tcPr>
            <w:tcW w:type="dxa" w:w="153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822,184.57</w:t>
            </w:r>
          </w:p>
        </w:tc>
        <w:tc>
          <w:tcPr>
            <w:tcW w:type="dxa" w:w="133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236,911.57</w:t>
            </w:r>
          </w:p>
        </w:tc>
        <w:tc>
          <w:tcPr>
            <w:tcW w:type="dxa" w:w="112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4.18</w:t>
            </w:r>
          </w:p>
        </w:tc>
        <w:tc>
          <w:tcPr>
            <w:tcW w:type="dxa" w:w="102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28.81</w:t>
            </w:r>
          </w:p>
        </w:tc>
        <w:tc>
          <w:tcPr>
            <w:tcW w:type="dxa" w:w="113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26.85</w:t>
            </w:r>
          </w:p>
        </w:tc>
      </w:tr>
      <w:tr>
        <w:trPr>
          <w:cantSplit/>
        </w:trPr>
        <w:tc>
          <w:tcPr>
            <w:tcW w:type="dxa" w:w="112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East</w:t>
            </w:r>
          </w:p>
        </w:tc>
        <w:tc>
          <w:tcPr>
            <w:tcW w:type="dxa" w:w="92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2,533</w:t>
            </w:r>
          </w:p>
        </w:tc>
        <w:tc>
          <w:tcPr>
            <w:tcW w:type="dxa" w:w="153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847,342.00</w:t>
            </w:r>
          </w:p>
        </w:tc>
        <w:tc>
          <w:tcPr>
            <w:tcW w:type="dxa" w:w="153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815,637.28</w:t>
            </w:r>
          </w:p>
        </w:tc>
        <w:tc>
          <w:tcPr>
            <w:tcW w:type="dxa" w:w="133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227,458.28</w:t>
            </w:r>
          </w:p>
        </w:tc>
        <w:tc>
          <w:tcPr>
            <w:tcW w:type="dxa" w:w="112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3.74</w:t>
            </w:r>
          </w:p>
        </w:tc>
        <w:tc>
          <w:tcPr>
            <w:tcW w:type="dxa" w:w="102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27.89</w:t>
            </w:r>
          </w:p>
        </w:tc>
        <w:tc>
          <w:tcPr>
            <w:tcW w:type="dxa" w:w="113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26.64</w:t>
            </w:r>
          </w:p>
        </w:tc>
      </w:tr>
      <w:tr>
        <w:trPr>
          <w:cantSplit/>
        </w:trPr>
        <w:tc>
          <w:tcPr>
            <w:tcW w:type="dxa" w:w="112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South</w:t>
            </w:r>
          </w:p>
        </w:tc>
        <w:tc>
          <w:tcPr>
            <w:tcW w:type="dxa" w:w="92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1,677</w:t>
            </w:r>
          </w:p>
        </w:tc>
        <w:tc>
          <w:tcPr>
            <w:tcW w:type="dxa" w:w="153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554,704.00</w:t>
            </w:r>
          </w:p>
        </w:tc>
        <w:tc>
          <w:tcPr>
            <w:tcW w:type="dxa" w:w="153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534,040.98</w:t>
            </w:r>
          </w:p>
        </w:tc>
        <w:tc>
          <w:tcPr>
            <w:tcW w:type="dxa" w:w="133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150,316.98</w:t>
            </w:r>
          </w:p>
        </w:tc>
        <w:tc>
          <w:tcPr>
            <w:tcW w:type="dxa" w:w="112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3.73</w:t>
            </w:r>
          </w:p>
        </w:tc>
        <w:tc>
          <w:tcPr>
            <w:tcW w:type="dxa" w:w="102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28.15</w:t>
            </w:r>
          </w:p>
        </w:tc>
        <w:tc>
          <w:tcPr>
            <w:tcW w:type="dxa" w:w="113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17.44</w:t>
            </w:r>
          </w:p>
        </w:tc>
      </w:tr>
    </w:tbl>
    <w:p>
      <w:pPr>
        <w:pStyle w:val="Heading3"/>
        <w:spacing w:after="80" w:before="180"/>
      </w:pPr>
      <w:r>
        <w:rPr>
          <w:rFonts w:ascii="Calibri" w:cs="Calibri" w:eastAsia="Calibri" w:hAnsi="Calibri"/>
          <w:b/>
          <w:bCs/>
          <w:color w:val="1F3A5F"/>
          <w:sz w:val="22"/>
          <w:szCs w:val="22"/>
        </w:rPr>
        <w:t xml:space="preserve">Q09 - Top 10 cities by revenue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66"/>
        <w:gridCol w:w="1752"/>
        <w:gridCol w:w="1642"/>
        <w:gridCol w:w="1095"/>
        <w:gridCol w:w="876"/>
        <w:gridCol w:w="1314"/>
        <w:gridCol w:w="1204"/>
        <w:gridCol w:w="1097"/>
      </w:tblGrid>
      <w:tr>
        <w:trPr>
          <w:cantSplit/>
          <w:tblHeader/>
        </w:trPr>
        <w:tc>
          <w:tcPr>
            <w:tcW w:type="dxa" w:w="766"/>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rev rank</w:t>
            </w:r>
          </w:p>
        </w:tc>
        <w:tc>
          <w:tcPr>
            <w:tcW w:type="dxa" w:w="1752"/>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city</w:t>
            </w:r>
          </w:p>
        </w:tc>
        <w:tc>
          <w:tcPr>
            <w:tcW w:type="dxa" w:w="1642"/>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state</w:t>
            </w:r>
          </w:p>
        </w:tc>
        <w:tc>
          <w:tcPr>
            <w:tcW w:type="dxa" w:w="1095"/>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region</w:t>
            </w:r>
          </w:p>
        </w:tc>
        <w:tc>
          <w:tcPr>
            <w:tcW w:type="dxa" w:w="876"/>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orders</w:t>
            </w:r>
          </w:p>
        </w:tc>
        <w:tc>
          <w:tcPr>
            <w:tcW w:type="dxa" w:w="1314"/>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revenue</w:t>
            </w:r>
          </w:p>
        </w:tc>
        <w:tc>
          <w:tcPr>
            <w:tcW w:type="dxa" w:w="1204"/>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profit</w:t>
            </w:r>
          </w:p>
        </w:tc>
        <w:tc>
          <w:tcPr>
            <w:tcW w:type="dxa" w:w="1097"/>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margin pct</w:t>
            </w:r>
          </w:p>
        </w:tc>
      </w:tr>
      <w:tr>
        <w:trPr>
          <w:cantSplit/>
        </w:trPr>
        <w:tc>
          <w:tcPr>
            <w:tcW w:type="dxa" w:w="76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w:t>
            </w:r>
          </w:p>
        </w:tc>
        <w:tc>
          <w:tcPr>
            <w:tcW w:type="dxa" w:w="175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New York City</w:t>
            </w:r>
          </w:p>
        </w:tc>
        <w:tc>
          <w:tcPr>
            <w:tcW w:type="dxa" w:w="164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New York</w:t>
            </w:r>
          </w:p>
        </w:tc>
        <w:tc>
          <w:tcPr>
            <w:tcW w:type="dxa" w:w="109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East</w:t>
            </w:r>
          </w:p>
        </w:tc>
        <w:tc>
          <w:tcPr>
            <w:tcW w:type="dxa" w:w="87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753</w:t>
            </w:r>
          </w:p>
        </w:tc>
        <w:tc>
          <w:tcPr>
            <w:tcW w:type="dxa" w:w="131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245,227.65</w:t>
            </w:r>
          </w:p>
        </w:tc>
        <w:tc>
          <w:tcPr>
            <w:tcW w:type="dxa" w:w="120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66,099.65</w:t>
            </w:r>
          </w:p>
        </w:tc>
        <w:tc>
          <w:tcPr>
            <w:tcW w:type="dxa" w:w="109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26.95</w:t>
            </w:r>
          </w:p>
        </w:tc>
      </w:tr>
      <w:tr>
        <w:trPr>
          <w:cantSplit/>
        </w:trPr>
        <w:tc>
          <w:tcPr>
            <w:tcW w:type="dxa" w:w="76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w:t>
            </w:r>
          </w:p>
        </w:tc>
        <w:tc>
          <w:tcPr>
            <w:tcW w:type="dxa" w:w="175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Los Angeles</w:t>
            </w:r>
          </w:p>
        </w:tc>
        <w:tc>
          <w:tcPr>
            <w:tcW w:type="dxa" w:w="164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California</w:t>
            </w:r>
          </w:p>
        </w:tc>
        <w:tc>
          <w:tcPr>
            <w:tcW w:type="dxa" w:w="109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West</w:t>
            </w:r>
          </w:p>
        </w:tc>
        <w:tc>
          <w:tcPr>
            <w:tcW w:type="dxa" w:w="87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598</w:t>
            </w:r>
          </w:p>
        </w:tc>
        <w:tc>
          <w:tcPr>
            <w:tcW w:type="dxa" w:w="131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181,311.07</w:t>
            </w:r>
          </w:p>
        </w:tc>
        <w:tc>
          <w:tcPr>
            <w:tcW w:type="dxa" w:w="120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51,803.07</w:t>
            </w:r>
          </w:p>
        </w:tc>
        <w:tc>
          <w:tcPr>
            <w:tcW w:type="dxa" w:w="109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28.57</w:t>
            </w:r>
          </w:p>
        </w:tc>
      </w:tr>
      <w:tr>
        <w:trPr>
          <w:cantSplit/>
        </w:trPr>
        <w:tc>
          <w:tcPr>
            <w:tcW w:type="dxa" w:w="76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3</w:t>
            </w:r>
          </w:p>
        </w:tc>
        <w:tc>
          <w:tcPr>
            <w:tcW w:type="dxa" w:w="175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San Francisco</w:t>
            </w:r>
          </w:p>
        </w:tc>
        <w:tc>
          <w:tcPr>
            <w:tcW w:type="dxa" w:w="164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California</w:t>
            </w:r>
          </w:p>
        </w:tc>
        <w:tc>
          <w:tcPr>
            <w:tcW w:type="dxa" w:w="109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West</w:t>
            </w:r>
          </w:p>
        </w:tc>
        <w:tc>
          <w:tcPr>
            <w:tcW w:type="dxa" w:w="87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499</w:t>
            </w:r>
          </w:p>
        </w:tc>
        <w:tc>
          <w:tcPr>
            <w:tcW w:type="dxa" w:w="131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156,304.33</w:t>
            </w:r>
          </w:p>
        </w:tc>
        <w:tc>
          <w:tcPr>
            <w:tcW w:type="dxa" w:w="120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42,130.33</w:t>
            </w:r>
          </w:p>
        </w:tc>
        <w:tc>
          <w:tcPr>
            <w:tcW w:type="dxa" w:w="109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26.95</w:t>
            </w:r>
          </w:p>
        </w:tc>
      </w:tr>
      <w:tr>
        <w:trPr>
          <w:cantSplit/>
        </w:trPr>
        <w:tc>
          <w:tcPr>
            <w:tcW w:type="dxa" w:w="76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4</w:t>
            </w:r>
          </w:p>
        </w:tc>
        <w:tc>
          <w:tcPr>
            <w:tcW w:type="dxa" w:w="175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Seattle</w:t>
            </w:r>
          </w:p>
        </w:tc>
        <w:tc>
          <w:tcPr>
            <w:tcW w:type="dxa" w:w="164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Washington</w:t>
            </w:r>
          </w:p>
        </w:tc>
        <w:tc>
          <w:tcPr>
            <w:tcW w:type="dxa" w:w="109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West</w:t>
            </w:r>
          </w:p>
        </w:tc>
        <w:tc>
          <w:tcPr>
            <w:tcW w:type="dxa" w:w="87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456</w:t>
            </w:r>
          </w:p>
        </w:tc>
        <w:tc>
          <w:tcPr>
            <w:tcW w:type="dxa" w:w="131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150,225.42</w:t>
            </w:r>
          </w:p>
        </w:tc>
        <w:tc>
          <w:tcPr>
            <w:tcW w:type="dxa" w:w="120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43,144.42</w:t>
            </w:r>
          </w:p>
        </w:tc>
        <w:tc>
          <w:tcPr>
            <w:tcW w:type="dxa" w:w="109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28.72</w:t>
            </w:r>
          </w:p>
        </w:tc>
      </w:tr>
      <w:tr>
        <w:trPr>
          <w:cantSplit/>
        </w:trPr>
        <w:tc>
          <w:tcPr>
            <w:tcW w:type="dxa" w:w="76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5</w:t>
            </w:r>
          </w:p>
        </w:tc>
        <w:tc>
          <w:tcPr>
            <w:tcW w:type="dxa" w:w="175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Philadelphia</w:t>
            </w:r>
          </w:p>
        </w:tc>
        <w:tc>
          <w:tcPr>
            <w:tcW w:type="dxa" w:w="164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Pennsylvania</w:t>
            </w:r>
          </w:p>
        </w:tc>
        <w:tc>
          <w:tcPr>
            <w:tcW w:type="dxa" w:w="109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East</w:t>
            </w:r>
          </w:p>
        </w:tc>
        <w:tc>
          <w:tcPr>
            <w:tcW w:type="dxa" w:w="87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483</w:t>
            </w:r>
          </w:p>
        </w:tc>
        <w:tc>
          <w:tcPr>
            <w:tcW w:type="dxa" w:w="131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146,235.73</w:t>
            </w:r>
          </w:p>
        </w:tc>
        <w:tc>
          <w:tcPr>
            <w:tcW w:type="dxa" w:w="120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41,779.73</w:t>
            </w:r>
          </w:p>
        </w:tc>
        <w:tc>
          <w:tcPr>
            <w:tcW w:type="dxa" w:w="109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28.57</w:t>
            </w:r>
          </w:p>
        </w:tc>
      </w:tr>
      <w:tr>
        <w:trPr>
          <w:cantSplit/>
        </w:trPr>
        <w:tc>
          <w:tcPr>
            <w:tcW w:type="dxa" w:w="76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6</w:t>
            </w:r>
          </w:p>
        </w:tc>
        <w:tc>
          <w:tcPr>
            <w:tcW w:type="dxa" w:w="175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Houston</w:t>
            </w:r>
          </w:p>
        </w:tc>
        <w:tc>
          <w:tcPr>
            <w:tcW w:type="dxa" w:w="164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Texas</w:t>
            </w:r>
          </w:p>
        </w:tc>
        <w:tc>
          <w:tcPr>
            <w:tcW w:type="dxa" w:w="109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Central</w:t>
            </w:r>
          </w:p>
        </w:tc>
        <w:tc>
          <w:tcPr>
            <w:tcW w:type="dxa" w:w="87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446</w:t>
            </w:r>
          </w:p>
        </w:tc>
        <w:tc>
          <w:tcPr>
            <w:tcW w:type="dxa" w:w="131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133,436.77</w:t>
            </w:r>
          </w:p>
        </w:tc>
        <w:tc>
          <w:tcPr>
            <w:tcW w:type="dxa" w:w="120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40,392.77</w:t>
            </w:r>
          </w:p>
        </w:tc>
        <w:tc>
          <w:tcPr>
            <w:tcW w:type="dxa" w:w="109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30.27</w:t>
            </w:r>
          </w:p>
        </w:tc>
      </w:tr>
      <w:tr>
        <w:trPr>
          <w:cantSplit/>
        </w:trPr>
        <w:tc>
          <w:tcPr>
            <w:tcW w:type="dxa" w:w="76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7</w:t>
            </w:r>
          </w:p>
        </w:tc>
        <w:tc>
          <w:tcPr>
            <w:tcW w:type="dxa" w:w="175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Chicago</w:t>
            </w:r>
          </w:p>
        </w:tc>
        <w:tc>
          <w:tcPr>
            <w:tcW w:type="dxa" w:w="164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Illinois</w:t>
            </w:r>
          </w:p>
        </w:tc>
        <w:tc>
          <w:tcPr>
            <w:tcW w:type="dxa" w:w="109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Central</w:t>
            </w:r>
          </w:p>
        </w:tc>
        <w:tc>
          <w:tcPr>
            <w:tcW w:type="dxa" w:w="87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396</w:t>
            </w:r>
          </w:p>
        </w:tc>
        <w:tc>
          <w:tcPr>
            <w:tcW w:type="dxa" w:w="131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102,226.42</w:t>
            </w:r>
          </w:p>
        </w:tc>
        <w:tc>
          <w:tcPr>
            <w:tcW w:type="dxa" w:w="120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28,758.42</w:t>
            </w:r>
          </w:p>
        </w:tc>
        <w:tc>
          <w:tcPr>
            <w:tcW w:type="dxa" w:w="109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28.13</w:t>
            </w:r>
          </w:p>
        </w:tc>
      </w:tr>
      <w:tr>
        <w:trPr>
          <w:cantSplit/>
        </w:trPr>
        <w:tc>
          <w:tcPr>
            <w:tcW w:type="dxa" w:w="76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8</w:t>
            </w:r>
          </w:p>
        </w:tc>
        <w:tc>
          <w:tcPr>
            <w:tcW w:type="dxa" w:w="175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Portland</w:t>
            </w:r>
          </w:p>
        </w:tc>
        <w:tc>
          <w:tcPr>
            <w:tcW w:type="dxa" w:w="164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Oregon</w:t>
            </w:r>
          </w:p>
        </w:tc>
        <w:tc>
          <w:tcPr>
            <w:tcW w:type="dxa" w:w="109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West</w:t>
            </w:r>
          </w:p>
        </w:tc>
        <w:tc>
          <w:tcPr>
            <w:tcW w:type="dxa" w:w="87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254</w:t>
            </w:r>
          </w:p>
        </w:tc>
        <w:tc>
          <w:tcPr>
            <w:tcW w:type="dxa" w:w="131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74,404.83</w:t>
            </w:r>
          </w:p>
        </w:tc>
        <w:tc>
          <w:tcPr>
            <w:tcW w:type="dxa" w:w="120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22,165.83</w:t>
            </w:r>
          </w:p>
        </w:tc>
        <w:tc>
          <w:tcPr>
            <w:tcW w:type="dxa" w:w="109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29.79</w:t>
            </w:r>
          </w:p>
        </w:tc>
      </w:tr>
      <w:tr>
        <w:trPr>
          <w:cantSplit/>
        </w:trPr>
        <w:tc>
          <w:tcPr>
            <w:tcW w:type="dxa" w:w="76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9</w:t>
            </w:r>
          </w:p>
        </w:tc>
        <w:tc>
          <w:tcPr>
            <w:tcW w:type="dxa" w:w="175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Atlanta</w:t>
            </w:r>
          </w:p>
        </w:tc>
        <w:tc>
          <w:tcPr>
            <w:tcW w:type="dxa" w:w="164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Georgia</w:t>
            </w:r>
          </w:p>
        </w:tc>
        <w:tc>
          <w:tcPr>
            <w:tcW w:type="dxa" w:w="109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South</w:t>
            </w:r>
          </w:p>
        </w:tc>
        <w:tc>
          <w:tcPr>
            <w:tcW w:type="dxa" w:w="87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185</w:t>
            </w:r>
          </w:p>
        </w:tc>
        <w:tc>
          <w:tcPr>
            <w:tcW w:type="dxa" w:w="131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67,320.60</w:t>
            </w:r>
          </w:p>
        </w:tc>
        <w:tc>
          <w:tcPr>
            <w:tcW w:type="dxa" w:w="120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19,241.60</w:t>
            </w:r>
          </w:p>
        </w:tc>
        <w:tc>
          <w:tcPr>
            <w:tcW w:type="dxa" w:w="109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28.58</w:t>
            </w:r>
          </w:p>
        </w:tc>
      </w:tr>
      <w:tr>
        <w:trPr>
          <w:cantSplit/>
        </w:trPr>
        <w:tc>
          <w:tcPr>
            <w:tcW w:type="dxa" w:w="76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10</w:t>
            </w:r>
          </w:p>
        </w:tc>
        <w:tc>
          <w:tcPr>
            <w:tcW w:type="dxa" w:w="175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Miami</w:t>
            </w:r>
          </w:p>
        </w:tc>
        <w:tc>
          <w:tcPr>
            <w:tcW w:type="dxa" w:w="164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Florida</w:t>
            </w:r>
          </w:p>
        </w:tc>
        <w:tc>
          <w:tcPr>
            <w:tcW w:type="dxa" w:w="109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South</w:t>
            </w:r>
          </w:p>
        </w:tc>
        <w:tc>
          <w:tcPr>
            <w:tcW w:type="dxa" w:w="87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204</w:t>
            </w:r>
          </w:p>
        </w:tc>
        <w:tc>
          <w:tcPr>
            <w:tcW w:type="dxa" w:w="131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67,045.05</w:t>
            </w:r>
          </w:p>
        </w:tc>
        <w:tc>
          <w:tcPr>
            <w:tcW w:type="dxa" w:w="120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17,471.05</w:t>
            </w:r>
          </w:p>
        </w:tc>
        <w:tc>
          <w:tcPr>
            <w:tcW w:type="dxa" w:w="109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26.06</w:t>
            </w:r>
          </w:p>
        </w:tc>
      </w:tr>
    </w:tbl>
    <w:p>
      <w:pPr>
        <w:pStyle w:val="Heading3"/>
        <w:spacing w:after="80" w:before="180"/>
      </w:pPr>
      <w:r>
        <w:rPr>
          <w:rFonts w:ascii="Calibri" w:cs="Calibri" w:eastAsia="Calibri" w:hAnsi="Calibri"/>
          <w:b/>
          <w:bCs/>
          <w:color w:val="1F3A5F"/>
          <w:sz w:val="22"/>
          <w:szCs w:val="22"/>
        </w:rPr>
        <w:t xml:space="preserve">Q05 - Top 10 products by revenue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779"/>
        <w:gridCol w:w="2079"/>
        <w:gridCol w:w="1689"/>
        <w:gridCol w:w="1429"/>
        <w:gridCol w:w="1039"/>
        <w:gridCol w:w="1429"/>
        <w:gridCol w:w="1302"/>
      </w:tblGrid>
      <w:tr>
        <w:trPr>
          <w:cantSplit/>
          <w:tblHeader/>
        </w:trPr>
        <w:tc>
          <w:tcPr>
            <w:tcW w:type="dxa" w:w="779"/>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rank no</w:t>
            </w:r>
          </w:p>
        </w:tc>
        <w:tc>
          <w:tcPr>
            <w:tcW w:type="dxa" w:w="2079"/>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product id</w:t>
            </w:r>
          </w:p>
        </w:tc>
        <w:tc>
          <w:tcPr>
            <w:tcW w:type="dxa" w:w="1689"/>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category</w:t>
            </w:r>
          </w:p>
        </w:tc>
        <w:tc>
          <w:tcPr>
            <w:tcW w:type="dxa" w:w="1429"/>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sub category</w:t>
            </w:r>
          </w:p>
        </w:tc>
        <w:tc>
          <w:tcPr>
            <w:tcW w:type="dxa" w:w="1039"/>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units</w:t>
            </w:r>
          </w:p>
        </w:tc>
        <w:tc>
          <w:tcPr>
            <w:tcW w:type="dxa" w:w="1429"/>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revenue</w:t>
            </w:r>
          </w:p>
        </w:tc>
        <w:tc>
          <w:tcPr>
            <w:tcW w:type="dxa" w:w="1302"/>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profit</w:t>
            </w:r>
          </w:p>
        </w:tc>
      </w:tr>
      <w:tr>
        <w:trPr>
          <w:cantSplit/>
        </w:trPr>
        <w:tc>
          <w:tcPr>
            <w:tcW w:type="dxa" w:w="77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w:t>
            </w:r>
          </w:p>
        </w:tc>
        <w:tc>
          <w:tcPr>
            <w:tcW w:type="dxa" w:w="207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TEC-PH-10001208</w:t>
            </w:r>
          </w:p>
        </w:tc>
        <w:tc>
          <w:tcPr>
            <w:tcW w:type="dxa" w:w="168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Technology</w:t>
            </w:r>
          </w:p>
        </w:tc>
        <w:tc>
          <w:tcPr>
            <w:tcW w:type="dxa" w:w="142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Phones</w:t>
            </w:r>
          </w:p>
        </w:tc>
        <w:tc>
          <w:tcPr>
            <w:tcW w:type="dxa" w:w="103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153</w:t>
            </w:r>
          </w:p>
        </w:tc>
        <w:tc>
          <w:tcPr>
            <w:tcW w:type="dxa" w:w="142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109,616.13</w:t>
            </w:r>
          </w:p>
        </w:tc>
        <w:tc>
          <w:tcPr>
            <w:tcW w:type="dxa" w:w="130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25,619.13</w:t>
            </w:r>
          </w:p>
        </w:tc>
      </w:tr>
      <w:tr>
        <w:trPr>
          <w:cantSplit/>
        </w:trPr>
        <w:tc>
          <w:tcPr>
            <w:tcW w:type="dxa" w:w="77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w:t>
            </w:r>
          </w:p>
        </w:tc>
        <w:tc>
          <w:tcPr>
            <w:tcW w:type="dxa" w:w="207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OFF-BI-10004342</w:t>
            </w:r>
          </w:p>
        </w:tc>
        <w:tc>
          <w:tcPr>
            <w:tcW w:type="dxa" w:w="168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Office Supplies</w:t>
            </w:r>
          </w:p>
        </w:tc>
        <w:tc>
          <w:tcPr>
            <w:tcW w:type="dxa" w:w="142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Binders</w:t>
            </w:r>
          </w:p>
        </w:tc>
        <w:tc>
          <w:tcPr>
            <w:tcW w:type="dxa" w:w="103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1,083</w:t>
            </w:r>
          </w:p>
        </w:tc>
        <w:tc>
          <w:tcPr>
            <w:tcW w:type="dxa" w:w="142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83,827.71</w:t>
            </w:r>
          </w:p>
        </w:tc>
        <w:tc>
          <w:tcPr>
            <w:tcW w:type="dxa" w:w="130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23,179.71</w:t>
            </w:r>
          </w:p>
        </w:tc>
      </w:tr>
      <w:tr>
        <w:trPr>
          <w:cantSplit/>
        </w:trPr>
        <w:tc>
          <w:tcPr>
            <w:tcW w:type="dxa" w:w="77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3</w:t>
            </w:r>
          </w:p>
        </w:tc>
        <w:tc>
          <w:tcPr>
            <w:tcW w:type="dxa" w:w="207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FUR-TA-10001133</w:t>
            </w:r>
          </w:p>
        </w:tc>
        <w:tc>
          <w:tcPr>
            <w:tcW w:type="dxa" w:w="168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Furniture</w:t>
            </w:r>
          </w:p>
        </w:tc>
        <w:tc>
          <w:tcPr>
            <w:tcW w:type="dxa" w:w="142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Tables</w:t>
            </w:r>
          </w:p>
        </w:tc>
        <w:tc>
          <w:tcPr>
            <w:tcW w:type="dxa" w:w="103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127</w:t>
            </w:r>
          </w:p>
        </w:tc>
        <w:tc>
          <w:tcPr>
            <w:tcW w:type="dxa" w:w="142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67,189.44</w:t>
            </w:r>
          </w:p>
        </w:tc>
        <w:tc>
          <w:tcPr>
            <w:tcW w:type="dxa" w:w="130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11,182.44</w:t>
            </w:r>
          </w:p>
        </w:tc>
      </w:tr>
      <w:tr>
        <w:trPr>
          <w:cantSplit/>
        </w:trPr>
        <w:tc>
          <w:tcPr>
            <w:tcW w:type="dxa" w:w="77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4</w:t>
            </w:r>
          </w:p>
        </w:tc>
        <w:tc>
          <w:tcPr>
            <w:tcW w:type="dxa" w:w="207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TEC-PH-10001576</w:t>
            </w:r>
          </w:p>
        </w:tc>
        <w:tc>
          <w:tcPr>
            <w:tcW w:type="dxa" w:w="168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Technology</w:t>
            </w:r>
          </w:p>
        </w:tc>
        <w:tc>
          <w:tcPr>
            <w:tcW w:type="dxa" w:w="142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Phones</w:t>
            </w:r>
          </w:p>
        </w:tc>
        <w:tc>
          <w:tcPr>
            <w:tcW w:type="dxa" w:w="103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81</w:t>
            </w:r>
          </w:p>
        </w:tc>
        <w:tc>
          <w:tcPr>
            <w:tcW w:type="dxa" w:w="142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49,533.12</w:t>
            </w:r>
          </w:p>
        </w:tc>
        <w:tc>
          <w:tcPr>
            <w:tcW w:type="dxa" w:w="130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16,809.12</w:t>
            </w:r>
          </w:p>
        </w:tc>
      </w:tr>
      <w:tr>
        <w:trPr>
          <w:cantSplit/>
        </w:trPr>
        <w:tc>
          <w:tcPr>
            <w:tcW w:type="dxa" w:w="77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5</w:t>
            </w:r>
          </w:p>
        </w:tc>
        <w:tc>
          <w:tcPr>
            <w:tcW w:type="dxa" w:w="207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TEC-CO-10002851</w:t>
            </w:r>
          </w:p>
        </w:tc>
        <w:tc>
          <w:tcPr>
            <w:tcW w:type="dxa" w:w="168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Technology</w:t>
            </w:r>
          </w:p>
        </w:tc>
        <w:tc>
          <w:tcPr>
            <w:tcW w:type="dxa" w:w="142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Copiers</w:t>
            </w:r>
          </w:p>
        </w:tc>
        <w:tc>
          <w:tcPr>
            <w:tcW w:type="dxa" w:w="103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20</w:t>
            </w:r>
          </w:p>
        </w:tc>
        <w:tc>
          <w:tcPr>
            <w:tcW w:type="dxa" w:w="142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44,157.75</w:t>
            </w:r>
          </w:p>
        </w:tc>
        <w:tc>
          <w:tcPr>
            <w:tcW w:type="dxa" w:w="130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14,537.75</w:t>
            </w:r>
          </w:p>
        </w:tc>
      </w:tr>
      <w:tr>
        <w:trPr>
          <w:cantSplit/>
        </w:trPr>
        <w:tc>
          <w:tcPr>
            <w:tcW w:type="dxa" w:w="77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6</w:t>
            </w:r>
          </w:p>
        </w:tc>
        <w:tc>
          <w:tcPr>
            <w:tcW w:type="dxa" w:w="207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FUR-CH-10000405</w:t>
            </w:r>
          </w:p>
        </w:tc>
        <w:tc>
          <w:tcPr>
            <w:tcW w:type="dxa" w:w="168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Furniture</w:t>
            </w:r>
          </w:p>
        </w:tc>
        <w:tc>
          <w:tcPr>
            <w:tcW w:type="dxa" w:w="142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Chairs</w:t>
            </w:r>
          </w:p>
        </w:tc>
        <w:tc>
          <w:tcPr>
            <w:tcW w:type="dxa" w:w="103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131</w:t>
            </w:r>
          </w:p>
        </w:tc>
        <w:tc>
          <w:tcPr>
            <w:tcW w:type="dxa" w:w="142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36,288.00</w:t>
            </w:r>
          </w:p>
        </w:tc>
        <w:tc>
          <w:tcPr>
            <w:tcW w:type="dxa" w:w="130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11,660.00</w:t>
            </w:r>
          </w:p>
        </w:tc>
      </w:tr>
      <w:tr>
        <w:trPr>
          <w:cantSplit/>
        </w:trPr>
        <w:tc>
          <w:tcPr>
            <w:tcW w:type="dxa" w:w="77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7</w:t>
            </w:r>
          </w:p>
        </w:tc>
        <w:tc>
          <w:tcPr>
            <w:tcW w:type="dxa" w:w="207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TEC-PH-10000513</w:t>
            </w:r>
          </w:p>
        </w:tc>
        <w:tc>
          <w:tcPr>
            <w:tcW w:type="dxa" w:w="168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Technology</w:t>
            </w:r>
          </w:p>
        </w:tc>
        <w:tc>
          <w:tcPr>
            <w:tcW w:type="dxa" w:w="142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Phones</w:t>
            </w:r>
          </w:p>
        </w:tc>
        <w:tc>
          <w:tcPr>
            <w:tcW w:type="dxa" w:w="103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51</w:t>
            </w:r>
          </w:p>
        </w:tc>
        <w:tc>
          <w:tcPr>
            <w:tcW w:type="dxa" w:w="142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33,567.52</w:t>
            </w:r>
          </w:p>
        </w:tc>
        <w:tc>
          <w:tcPr>
            <w:tcW w:type="dxa" w:w="130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9,444.52</w:t>
            </w:r>
          </w:p>
        </w:tc>
      </w:tr>
      <w:tr>
        <w:trPr>
          <w:cantSplit/>
        </w:trPr>
        <w:tc>
          <w:tcPr>
            <w:tcW w:type="dxa" w:w="77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8</w:t>
            </w:r>
          </w:p>
        </w:tc>
        <w:tc>
          <w:tcPr>
            <w:tcW w:type="dxa" w:w="207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TEC-PH-10000684</w:t>
            </w:r>
          </w:p>
        </w:tc>
        <w:tc>
          <w:tcPr>
            <w:tcW w:type="dxa" w:w="168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Technology</w:t>
            </w:r>
          </w:p>
        </w:tc>
        <w:tc>
          <w:tcPr>
            <w:tcW w:type="dxa" w:w="142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Phones</w:t>
            </w:r>
          </w:p>
        </w:tc>
        <w:tc>
          <w:tcPr>
            <w:tcW w:type="dxa" w:w="103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52</w:t>
            </w:r>
          </w:p>
        </w:tc>
        <w:tc>
          <w:tcPr>
            <w:tcW w:type="dxa" w:w="142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32,322.24</w:t>
            </w:r>
          </w:p>
        </w:tc>
        <w:tc>
          <w:tcPr>
            <w:tcW w:type="dxa" w:w="130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11,418.24</w:t>
            </w:r>
          </w:p>
        </w:tc>
      </w:tr>
      <w:tr>
        <w:trPr>
          <w:cantSplit/>
        </w:trPr>
        <w:tc>
          <w:tcPr>
            <w:tcW w:type="dxa" w:w="77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9</w:t>
            </w:r>
          </w:p>
        </w:tc>
        <w:tc>
          <w:tcPr>
            <w:tcW w:type="dxa" w:w="207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TEC-MA-10000596</w:t>
            </w:r>
          </w:p>
        </w:tc>
        <w:tc>
          <w:tcPr>
            <w:tcW w:type="dxa" w:w="168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Technology</w:t>
            </w:r>
          </w:p>
        </w:tc>
        <w:tc>
          <w:tcPr>
            <w:tcW w:type="dxa" w:w="142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Machines</w:t>
            </w:r>
          </w:p>
        </w:tc>
        <w:tc>
          <w:tcPr>
            <w:tcW w:type="dxa" w:w="103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22</w:t>
            </w:r>
          </w:p>
        </w:tc>
        <w:tc>
          <w:tcPr>
            <w:tcW w:type="dxa" w:w="142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28,426.97</w:t>
            </w:r>
          </w:p>
        </w:tc>
        <w:tc>
          <w:tcPr>
            <w:tcW w:type="dxa" w:w="130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5,942.97</w:t>
            </w:r>
          </w:p>
        </w:tc>
      </w:tr>
      <w:tr>
        <w:trPr>
          <w:cantSplit/>
        </w:trPr>
        <w:tc>
          <w:tcPr>
            <w:tcW w:type="dxa" w:w="77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10</w:t>
            </w:r>
          </w:p>
        </w:tc>
        <w:tc>
          <w:tcPr>
            <w:tcW w:type="dxa" w:w="207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TEC-PH-10002600</w:t>
            </w:r>
          </w:p>
        </w:tc>
        <w:tc>
          <w:tcPr>
            <w:tcW w:type="dxa" w:w="168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Technology</w:t>
            </w:r>
          </w:p>
        </w:tc>
        <w:tc>
          <w:tcPr>
            <w:tcW w:type="dxa" w:w="142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Phones</w:t>
            </w:r>
          </w:p>
        </w:tc>
        <w:tc>
          <w:tcPr>
            <w:tcW w:type="dxa" w:w="103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33</w:t>
            </w:r>
          </w:p>
        </w:tc>
        <w:tc>
          <w:tcPr>
            <w:tcW w:type="dxa" w:w="142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26,179.82</w:t>
            </w:r>
          </w:p>
        </w:tc>
        <w:tc>
          <w:tcPr>
            <w:tcW w:type="dxa" w:w="130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10,999.82</w:t>
            </w:r>
          </w:p>
        </w:tc>
      </w:tr>
    </w:tbl>
    <w:p>
      <w:pPr>
        <w:pStyle w:val="Heading3"/>
        <w:spacing w:after="80" w:before="180"/>
      </w:pPr>
      <w:r>
        <w:rPr>
          <w:rFonts w:ascii="Calibri" w:cs="Calibri" w:eastAsia="Calibri" w:hAnsi="Calibri"/>
          <w:b/>
          <w:bCs/>
          <w:color w:val="1F3A5F"/>
          <w:sz w:val="22"/>
          <w:szCs w:val="22"/>
        </w:rPr>
        <w:t xml:space="preserve">Q11 - Ship mode performance</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843"/>
        <w:gridCol w:w="1317"/>
        <w:gridCol w:w="1580"/>
        <w:gridCol w:w="2107"/>
        <w:gridCol w:w="1580"/>
        <w:gridCol w:w="1319"/>
      </w:tblGrid>
      <w:tr>
        <w:trPr>
          <w:cantSplit/>
          <w:tblHeader/>
        </w:trPr>
        <w:tc>
          <w:tcPr>
            <w:tcW w:type="dxa" w:w="1843"/>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ship mode</w:t>
            </w:r>
          </w:p>
        </w:tc>
        <w:tc>
          <w:tcPr>
            <w:tcW w:type="dxa" w:w="1317"/>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orders</w:t>
            </w:r>
          </w:p>
        </w:tc>
        <w:tc>
          <w:tcPr>
            <w:tcW w:type="dxa" w:w="1580"/>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order share pct</w:t>
            </w:r>
          </w:p>
        </w:tc>
        <w:tc>
          <w:tcPr>
            <w:tcW w:type="dxa" w:w="2107"/>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revenue post discount</w:t>
            </w:r>
          </w:p>
        </w:tc>
        <w:tc>
          <w:tcPr>
            <w:tcW w:type="dxa" w:w="1580"/>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avg order value</w:t>
            </w:r>
          </w:p>
        </w:tc>
        <w:tc>
          <w:tcPr>
            <w:tcW w:type="dxa" w:w="1319"/>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margin pct</w:t>
            </w:r>
          </w:p>
        </w:tc>
      </w:tr>
      <w:tr>
        <w:trPr>
          <w:cantSplit/>
        </w:trPr>
        <w:tc>
          <w:tcPr>
            <w:tcW w:type="dxa" w:w="184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Standard Class</w:t>
            </w:r>
          </w:p>
        </w:tc>
        <w:tc>
          <w:tcPr>
            <w:tcW w:type="dxa" w:w="131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5,758</w:t>
            </w:r>
          </w:p>
        </w:tc>
        <w:tc>
          <w:tcPr>
            <w:tcW w:type="dxa" w:w="158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57.61</w:t>
            </w:r>
          </w:p>
        </w:tc>
        <w:tc>
          <w:tcPr>
            <w:tcW w:type="dxa" w:w="210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1,779,545.43</w:t>
            </w:r>
          </w:p>
        </w:tc>
        <w:tc>
          <w:tcPr>
            <w:tcW w:type="dxa" w:w="158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309.06</w:t>
            </w:r>
          </w:p>
        </w:tc>
        <w:tc>
          <w:tcPr>
            <w:tcW w:type="dxa" w:w="131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28.56</w:t>
            </w:r>
          </w:p>
        </w:tc>
      </w:tr>
      <w:tr>
        <w:trPr>
          <w:cantSplit/>
        </w:trPr>
        <w:tc>
          <w:tcPr>
            <w:tcW w:type="dxa" w:w="184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Second Class</w:t>
            </w:r>
          </w:p>
        </w:tc>
        <w:tc>
          <w:tcPr>
            <w:tcW w:type="dxa" w:w="131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1,957</w:t>
            </w:r>
          </w:p>
        </w:tc>
        <w:tc>
          <w:tcPr>
            <w:tcW w:type="dxa" w:w="158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19.58</w:t>
            </w:r>
          </w:p>
        </w:tc>
        <w:tc>
          <w:tcPr>
            <w:tcW w:type="dxa" w:w="210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582,584.84</w:t>
            </w:r>
          </w:p>
        </w:tc>
        <w:tc>
          <w:tcPr>
            <w:tcW w:type="dxa" w:w="158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297.69</w:t>
            </w:r>
          </w:p>
        </w:tc>
        <w:tc>
          <w:tcPr>
            <w:tcW w:type="dxa" w:w="131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27.92</w:t>
            </w:r>
          </w:p>
        </w:tc>
      </w:tr>
      <w:tr>
        <w:trPr>
          <w:cantSplit/>
        </w:trPr>
        <w:tc>
          <w:tcPr>
            <w:tcW w:type="dxa" w:w="184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First Class</w:t>
            </w:r>
          </w:p>
        </w:tc>
        <w:tc>
          <w:tcPr>
            <w:tcW w:type="dxa" w:w="131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1,604</w:t>
            </w:r>
          </w:p>
        </w:tc>
        <w:tc>
          <w:tcPr>
            <w:tcW w:type="dxa" w:w="158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16.05</w:t>
            </w:r>
          </w:p>
        </w:tc>
        <w:tc>
          <w:tcPr>
            <w:tcW w:type="dxa" w:w="210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500,431.23</w:t>
            </w:r>
          </w:p>
        </w:tc>
        <w:tc>
          <w:tcPr>
            <w:tcW w:type="dxa" w:w="158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311.99</w:t>
            </w:r>
          </w:p>
        </w:tc>
        <w:tc>
          <w:tcPr>
            <w:tcW w:type="dxa" w:w="131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28.22</w:t>
            </w:r>
          </w:p>
        </w:tc>
      </w:tr>
      <w:tr>
        <w:trPr>
          <w:cantSplit/>
        </w:trPr>
        <w:tc>
          <w:tcPr>
            <w:tcW w:type="dxa" w:w="184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Same Day</w:t>
            </w:r>
          </w:p>
        </w:tc>
        <w:tc>
          <w:tcPr>
            <w:tcW w:type="dxa" w:w="131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579</w:t>
            </w:r>
          </w:p>
        </w:tc>
        <w:tc>
          <w:tcPr>
            <w:tcW w:type="dxa" w:w="158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5.79</w:t>
            </w:r>
          </w:p>
        </w:tc>
        <w:tc>
          <w:tcPr>
            <w:tcW w:type="dxa" w:w="210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177,370.37</w:t>
            </w:r>
          </w:p>
        </w:tc>
        <w:tc>
          <w:tcPr>
            <w:tcW w:type="dxa" w:w="158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306.34</w:t>
            </w:r>
          </w:p>
        </w:tc>
        <w:tc>
          <w:tcPr>
            <w:tcW w:type="dxa" w:w="131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27.14</w:t>
            </w:r>
          </w:p>
        </w:tc>
      </w:tr>
      <w:tr>
        <w:trPr>
          <w:cantSplit/>
        </w:trPr>
        <w:tc>
          <w:tcPr>
            <w:tcW w:type="dxa" w:w="184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Unknown</w:t>
            </w:r>
          </w:p>
        </w:tc>
        <w:tc>
          <w:tcPr>
            <w:tcW w:type="dxa" w:w="131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96</w:t>
            </w:r>
          </w:p>
        </w:tc>
        <w:tc>
          <w:tcPr>
            <w:tcW w:type="dxa" w:w="158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0.96</w:t>
            </w:r>
          </w:p>
        </w:tc>
        <w:tc>
          <w:tcPr>
            <w:tcW w:type="dxa" w:w="210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21,787.65</w:t>
            </w:r>
          </w:p>
        </w:tc>
        <w:tc>
          <w:tcPr>
            <w:tcW w:type="dxa" w:w="158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226.95</w:t>
            </w:r>
          </w:p>
        </w:tc>
        <w:tc>
          <w:tcPr>
            <w:tcW w:type="dxa" w:w="131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31.93</w:t>
            </w:r>
          </w:p>
        </w:tc>
      </w:tr>
    </w:tbl>
    <w:p>
      <w:pPr>
        <w:pStyle w:val="Heading3"/>
        <w:spacing w:after="80" w:before="180"/>
      </w:pPr>
      <w:r>
        <w:rPr>
          <w:rFonts w:ascii="Calibri" w:cs="Calibri" w:eastAsia="Calibri" w:hAnsi="Calibri"/>
          <w:b/>
          <w:bCs/>
          <w:color w:val="1F3A5F"/>
          <w:sz w:val="22"/>
          <w:szCs w:val="22"/>
        </w:rPr>
        <w:t xml:space="preserve">Q12 - Category: discount rate vs margin</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533"/>
        <w:gridCol w:w="1642"/>
        <w:gridCol w:w="1314"/>
        <w:gridCol w:w="1204"/>
        <w:gridCol w:w="1642"/>
        <w:gridCol w:w="1314"/>
        <w:gridCol w:w="1097"/>
      </w:tblGrid>
      <w:tr>
        <w:trPr>
          <w:cantSplit/>
          <w:tblHeader/>
        </w:trPr>
        <w:tc>
          <w:tcPr>
            <w:tcW w:type="dxa" w:w="1533"/>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category</w:t>
            </w:r>
          </w:p>
        </w:tc>
        <w:tc>
          <w:tcPr>
            <w:tcW w:type="dxa" w:w="1642"/>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revenue pre discount</w:t>
            </w:r>
          </w:p>
        </w:tc>
        <w:tc>
          <w:tcPr>
            <w:tcW w:type="dxa" w:w="1314"/>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discount given</w:t>
            </w:r>
          </w:p>
        </w:tc>
        <w:tc>
          <w:tcPr>
            <w:tcW w:type="dxa" w:w="1204"/>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discount rate pct</w:t>
            </w:r>
          </w:p>
        </w:tc>
        <w:tc>
          <w:tcPr>
            <w:tcW w:type="dxa" w:w="1642"/>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revenue post discount</w:t>
            </w:r>
          </w:p>
        </w:tc>
        <w:tc>
          <w:tcPr>
            <w:tcW w:type="dxa" w:w="1314"/>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total profit</w:t>
            </w:r>
          </w:p>
        </w:tc>
        <w:tc>
          <w:tcPr>
            <w:tcW w:type="dxa" w:w="1097"/>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margin pct</w:t>
            </w:r>
          </w:p>
        </w:tc>
      </w:tr>
      <w:tr>
        <w:trPr>
          <w:cantSplit/>
        </w:trPr>
        <w:tc>
          <w:tcPr>
            <w:tcW w:type="dxa" w:w="153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Furniture</w:t>
            </w:r>
          </w:p>
        </w:tc>
        <w:tc>
          <w:tcPr>
            <w:tcW w:type="dxa" w:w="164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1,048,115.00</w:t>
            </w:r>
          </w:p>
        </w:tc>
        <w:tc>
          <w:tcPr>
            <w:tcW w:type="dxa" w:w="131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43,892.13</w:t>
            </w:r>
          </w:p>
        </w:tc>
        <w:tc>
          <w:tcPr>
            <w:tcW w:type="dxa" w:w="120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4.19</w:t>
            </w:r>
          </w:p>
        </w:tc>
        <w:tc>
          <w:tcPr>
            <w:tcW w:type="dxa" w:w="164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1,004,222.87</w:t>
            </w:r>
          </w:p>
        </w:tc>
        <w:tc>
          <w:tcPr>
            <w:tcW w:type="dxa" w:w="131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239,670.87</w:t>
            </w:r>
          </w:p>
        </w:tc>
        <w:tc>
          <w:tcPr>
            <w:tcW w:type="dxa" w:w="109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23.87</w:t>
            </w:r>
          </w:p>
        </w:tc>
      </w:tr>
      <w:tr>
        <w:trPr>
          <w:cantSplit/>
        </w:trPr>
        <w:tc>
          <w:tcPr>
            <w:tcW w:type="dxa" w:w="153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Office Supplies</w:t>
            </w:r>
          </w:p>
        </w:tc>
        <w:tc>
          <w:tcPr>
            <w:tcW w:type="dxa" w:w="164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929,405.00</w:t>
            </w:r>
          </w:p>
        </w:tc>
        <w:tc>
          <w:tcPr>
            <w:tcW w:type="dxa" w:w="131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35,350.69</w:t>
            </w:r>
          </w:p>
        </w:tc>
        <w:tc>
          <w:tcPr>
            <w:tcW w:type="dxa" w:w="120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3.80</w:t>
            </w:r>
          </w:p>
        </w:tc>
        <w:tc>
          <w:tcPr>
            <w:tcW w:type="dxa" w:w="164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894,054.31</w:t>
            </w:r>
          </w:p>
        </w:tc>
        <w:tc>
          <w:tcPr>
            <w:tcW w:type="dxa" w:w="131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285,431.31</w:t>
            </w:r>
          </w:p>
        </w:tc>
        <w:tc>
          <w:tcPr>
            <w:tcW w:type="dxa" w:w="109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31.93</w:t>
            </w:r>
          </w:p>
        </w:tc>
      </w:tr>
      <w:tr>
        <w:trPr>
          <w:cantSplit/>
        </w:trPr>
        <w:tc>
          <w:tcPr>
            <w:tcW w:type="dxa" w:w="153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Technology</w:t>
            </w:r>
          </w:p>
        </w:tc>
        <w:tc>
          <w:tcPr>
            <w:tcW w:type="dxa" w:w="164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1,207,074.00</w:t>
            </w:r>
          </w:p>
        </w:tc>
        <w:tc>
          <w:tcPr>
            <w:tcW w:type="dxa" w:w="131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43,631.66</w:t>
            </w:r>
          </w:p>
        </w:tc>
        <w:tc>
          <w:tcPr>
            <w:tcW w:type="dxa" w:w="120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3.61</w:t>
            </w:r>
          </w:p>
        </w:tc>
        <w:tc>
          <w:tcPr>
            <w:tcW w:type="dxa" w:w="164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1,163,442.34</w:t>
            </w:r>
          </w:p>
        </w:tc>
        <w:tc>
          <w:tcPr>
            <w:tcW w:type="dxa" w:w="131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342,116.34</w:t>
            </w:r>
          </w:p>
        </w:tc>
        <w:tc>
          <w:tcPr>
            <w:tcW w:type="dxa" w:w="109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29.41</w:t>
            </w:r>
          </w:p>
        </w:tc>
      </w:tr>
    </w:tbl>
    <w:p>
      <w:pPr>
        <w:pStyle w:val="Heading3"/>
        <w:spacing w:after="80" w:before="180"/>
      </w:pPr>
      <w:r>
        <w:rPr>
          <w:rFonts w:ascii="Calibri" w:cs="Calibri" w:eastAsia="Calibri" w:hAnsi="Calibri"/>
          <w:b/>
          <w:bCs/>
          <w:color w:val="1F3A5F"/>
          <w:sz w:val="22"/>
          <w:szCs w:val="22"/>
        </w:rPr>
        <w:t xml:space="preserve">Q14 - Discount effectiveness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233"/>
        <w:gridCol w:w="1233"/>
        <w:gridCol w:w="1357"/>
        <w:gridCol w:w="1850"/>
        <w:gridCol w:w="1480"/>
        <w:gridCol w:w="1233"/>
        <w:gridCol w:w="1360"/>
      </w:tblGrid>
      <w:tr>
        <w:trPr>
          <w:cantSplit/>
          <w:tblHeader/>
        </w:trPr>
        <w:tc>
          <w:tcPr>
            <w:tcW w:type="dxa" w:w="1233"/>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discount percent</w:t>
            </w:r>
          </w:p>
        </w:tc>
        <w:tc>
          <w:tcPr>
            <w:tcW w:type="dxa" w:w="1233"/>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order lines</w:t>
            </w:r>
          </w:p>
        </w:tc>
        <w:tc>
          <w:tcPr>
            <w:tcW w:type="dxa" w:w="1357"/>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avg units per line</w:t>
            </w:r>
          </w:p>
        </w:tc>
        <w:tc>
          <w:tcPr>
            <w:tcW w:type="dxa" w:w="1850"/>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revenue post discount</w:t>
            </w:r>
          </w:p>
        </w:tc>
        <w:tc>
          <w:tcPr>
            <w:tcW w:type="dxa" w:w="1480"/>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total profit</w:t>
            </w:r>
          </w:p>
        </w:tc>
        <w:tc>
          <w:tcPr>
            <w:tcW w:type="dxa" w:w="1233"/>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margin pct</w:t>
            </w:r>
          </w:p>
        </w:tc>
        <w:tc>
          <w:tcPr>
            <w:tcW w:type="dxa" w:w="1360"/>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loss making lines</w:t>
            </w:r>
          </w:p>
        </w:tc>
      </w:tr>
      <w:tr>
        <w:trPr>
          <w:cantSplit/>
        </w:trPr>
        <w:tc>
          <w:tcPr>
            <w:tcW w:type="dxa" w:w="123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w:t>
            </w:r>
          </w:p>
        </w:tc>
        <w:tc>
          <w:tcPr>
            <w:tcW w:type="dxa" w:w="123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2,968</w:t>
            </w:r>
          </w:p>
        </w:tc>
        <w:tc>
          <w:tcPr>
            <w:tcW w:type="dxa" w:w="135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3.18</w:t>
            </w:r>
          </w:p>
        </w:tc>
        <w:tc>
          <w:tcPr>
            <w:tcW w:type="dxa" w:w="185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915,947.20</w:t>
            </w:r>
          </w:p>
        </w:tc>
        <w:tc>
          <w:tcPr>
            <w:tcW w:type="dxa" w:w="148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269,197.20</w:t>
            </w:r>
          </w:p>
        </w:tc>
        <w:tc>
          <w:tcPr>
            <w:tcW w:type="dxa" w:w="123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29.39</w:t>
            </w:r>
          </w:p>
        </w:tc>
        <w:tc>
          <w:tcPr>
            <w:tcW w:type="dxa" w:w="136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3</w:t>
            </w:r>
          </w:p>
        </w:tc>
      </w:tr>
      <w:tr>
        <w:trPr>
          <w:cantSplit/>
        </w:trPr>
        <w:tc>
          <w:tcPr>
            <w:tcW w:type="dxa" w:w="123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3</w:t>
            </w:r>
          </w:p>
        </w:tc>
        <w:tc>
          <w:tcPr>
            <w:tcW w:type="dxa" w:w="123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2,736</w:t>
            </w:r>
          </w:p>
        </w:tc>
        <w:tc>
          <w:tcPr>
            <w:tcW w:type="dxa" w:w="135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3.18</w:t>
            </w:r>
          </w:p>
        </w:tc>
        <w:tc>
          <w:tcPr>
            <w:tcW w:type="dxa" w:w="185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853,889.06</w:t>
            </w:r>
          </w:p>
        </w:tc>
        <w:tc>
          <w:tcPr>
            <w:tcW w:type="dxa" w:w="148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250,869.06</w:t>
            </w:r>
          </w:p>
        </w:tc>
        <w:tc>
          <w:tcPr>
            <w:tcW w:type="dxa" w:w="123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29.38</w:t>
            </w:r>
          </w:p>
        </w:tc>
        <w:tc>
          <w:tcPr>
            <w:tcW w:type="dxa" w:w="136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3</w:t>
            </w:r>
          </w:p>
        </w:tc>
      </w:tr>
      <w:tr>
        <w:trPr>
          <w:cantSplit/>
        </w:trPr>
        <w:tc>
          <w:tcPr>
            <w:tcW w:type="dxa" w:w="123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4</w:t>
            </w:r>
          </w:p>
        </w:tc>
        <w:tc>
          <w:tcPr>
            <w:tcW w:type="dxa" w:w="123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2,198</w:t>
            </w:r>
          </w:p>
        </w:tc>
        <w:tc>
          <w:tcPr>
            <w:tcW w:type="dxa" w:w="135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3.15</w:t>
            </w:r>
          </w:p>
        </w:tc>
        <w:tc>
          <w:tcPr>
            <w:tcW w:type="dxa" w:w="185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668,002.56</w:t>
            </w:r>
          </w:p>
        </w:tc>
        <w:tc>
          <w:tcPr>
            <w:tcW w:type="dxa" w:w="148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193,495.56</w:t>
            </w:r>
          </w:p>
        </w:tc>
        <w:tc>
          <w:tcPr>
            <w:tcW w:type="dxa" w:w="123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28.97</w:t>
            </w:r>
          </w:p>
        </w:tc>
        <w:tc>
          <w:tcPr>
            <w:tcW w:type="dxa" w:w="136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3</w:t>
            </w:r>
          </w:p>
        </w:tc>
      </w:tr>
      <w:tr>
        <w:trPr>
          <w:cantSplit/>
        </w:trPr>
        <w:tc>
          <w:tcPr>
            <w:tcW w:type="dxa" w:w="123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5</w:t>
            </w:r>
          </w:p>
        </w:tc>
        <w:tc>
          <w:tcPr>
            <w:tcW w:type="dxa" w:w="123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1,414</w:t>
            </w:r>
          </w:p>
        </w:tc>
        <w:tc>
          <w:tcPr>
            <w:tcW w:type="dxa" w:w="135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3.16</w:t>
            </w:r>
          </w:p>
        </w:tc>
        <w:tc>
          <w:tcPr>
            <w:tcW w:type="dxa" w:w="185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435,843.85</w:t>
            </w:r>
          </w:p>
        </w:tc>
        <w:tc>
          <w:tcPr>
            <w:tcW w:type="dxa" w:w="148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119,531.85</w:t>
            </w:r>
          </w:p>
        </w:tc>
        <w:tc>
          <w:tcPr>
            <w:tcW w:type="dxa" w:w="123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27.43</w:t>
            </w:r>
          </w:p>
        </w:tc>
        <w:tc>
          <w:tcPr>
            <w:tcW w:type="dxa" w:w="136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w:t>
            </w:r>
          </w:p>
        </w:tc>
      </w:tr>
      <w:tr>
        <w:trPr>
          <w:cantSplit/>
        </w:trPr>
        <w:tc>
          <w:tcPr>
            <w:tcW w:type="dxa" w:w="123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10</w:t>
            </w:r>
          </w:p>
        </w:tc>
        <w:tc>
          <w:tcPr>
            <w:tcW w:type="dxa" w:w="123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412</w:t>
            </w:r>
          </w:p>
        </w:tc>
        <w:tc>
          <w:tcPr>
            <w:tcW w:type="dxa" w:w="135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3.18</w:t>
            </w:r>
          </w:p>
        </w:tc>
        <w:tc>
          <w:tcPr>
            <w:tcW w:type="dxa" w:w="185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115,260.30</w:t>
            </w:r>
          </w:p>
        </w:tc>
        <w:tc>
          <w:tcPr>
            <w:tcW w:type="dxa" w:w="148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23,356.30</w:t>
            </w:r>
          </w:p>
        </w:tc>
        <w:tc>
          <w:tcPr>
            <w:tcW w:type="dxa" w:w="123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20.26</w:t>
            </w:r>
          </w:p>
        </w:tc>
        <w:tc>
          <w:tcPr>
            <w:tcW w:type="dxa" w:w="136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6</w:t>
            </w:r>
          </w:p>
        </w:tc>
      </w:tr>
      <w:tr>
        <w:trPr>
          <w:cantSplit/>
        </w:trPr>
        <w:tc>
          <w:tcPr>
            <w:tcW w:type="dxa" w:w="123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15</w:t>
            </w:r>
          </w:p>
        </w:tc>
        <w:tc>
          <w:tcPr>
            <w:tcW w:type="dxa" w:w="123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184</w:t>
            </w:r>
          </w:p>
        </w:tc>
        <w:tc>
          <w:tcPr>
            <w:tcW w:type="dxa" w:w="1357"/>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3.15</w:t>
            </w:r>
          </w:p>
        </w:tc>
        <w:tc>
          <w:tcPr>
            <w:tcW w:type="dxa" w:w="185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54,409.35</w:t>
            </w:r>
          </w:p>
        </w:tc>
        <w:tc>
          <w:tcPr>
            <w:tcW w:type="dxa" w:w="148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8,696.35</w:t>
            </w:r>
          </w:p>
        </w:tc>
        <w:tc>
          <w:tcPr>
            <w:tcW w:type="dxa" w:w="1233"/>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15.98</w:t>
            </w:r>
          </w:p>
        </w:tc>
        <w:tc>
          <w:tcPr>
            <w:tcW w:type="dxa" w:w="136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w:t>
            </w:r>
          </w:p>
        </w:tc>
      </w:tr>
      <w:tr>
        <w:trPr>
          <w:cantSplit/>
        </w:trPr>
        <w:tc>
          <w:tcPr>
            <w:tcW w:type="dxa" w:w="123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20</w:t>
            </w:r>
          </w:p>
        </w:tc>
        <w:tc>
          <w:tcPr>
            <w:tcW w:type="dxa" w:w="123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82</w:t>
            </w:r>
          </w:p>
        </w:tc>
        <w:tc>
          <w:tcPr>
            <w:tcW w:type="dxa" w:w="1357"/>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2.99</w:t>
            </w:r>
          </w:p>
        </w:tc>
        <w:tc>
          <w:tcPr>
            <w:tcW w:type="dxa" w:w="185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18,367.20</w:t>
            </w:r>
          </w:p>
        </w:tc>
        <w:tc>
          <w:tcPr>
            <w:tcW w:type="dxa" w:w="148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2,072.20</w:t>
            </w:r>
          </w:p>
        </w:tc>
        <w:tc>
          <w:tcPr>
            <w:tcW w:type="dxa" w:w="1233"/>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11.28</w:t>
            </w:r>
          </w:p>
        </w:tc>
        <w:tc>
          <w:tcPr>
            <w:tcW w:type="dxa" w:w="136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5</w:t>
            </w:r>
          </w:p>
        </w:tc>
      </w:tr>
    </w:tbl>
    <w:p>
      <w:pPr>
        <w:pStyle w:val="Heading3"/>
        <w:spacing w:after="80" w:before="180"/>
      </w:pPr>
      <w:r>
        <w:rPr>
          <w:rFonts w:ascii="Calibri" w:cs="Calibri" w:eastAsia="Calibri" w:hAnsi="Calibri"/>
          <w:b/>
          <w:bCs/>
          <w:color w:val="1F3A5F"/>
          <w:sz w:val="22"/>
          <w:szCs w:val="22"/>
        </w:rPr>
        <w:t xml:space="preserve">Q15 - Loss-making products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1949"/>
        <w:gridCol w:w="1705"/>
        <w:gridCol w:w="1340"/>
        <w:gridCol w:w="852"/>
        <w:gridCol w:w="1218"/>
        <w:gridCol w:w="1218"/>
        <w:gridCol w:w="1464"/>
      </w:tblGrid>
      <w:tr>
        <w:trPr>
          <w:cantSplit/>
          <w:tblHeader/>
        </w:trPr>
        <w:tc>
          <w:tcPr>
            <w:tcW w:type="dxa" w:w="1949"/>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product id</w:t>
            </w:r>
          </w:p>
        </w:tc>
        <w:tc>
          <w:tcPr>
            <w:tcW w:type="dxa" w:w="1705"/>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category</w:t>
            </w:r>
          </w:p>
        </w:tc>
        <w:tc>
          <w:tcPr>
            <w:tcW w:type="dxa" w:w="1340"/>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6"/>
                <w:szCs w:val="16"/>
              </w:rPr>
              <w:t xml:space="preserve">sub category</w:t>
            </w:r>
          </w:p>
        </w:tc>
        <w:tc>
          <w:tcPr>
            <w:tcW w:type="dxa" w:w="852"/>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units</w:t>
            </w:r>
          </w:p>
        </w:tc>
        <w:tc>
          <w:tcPr>
            <w:tcW w:type="dxa" w:w="1218"/>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revenue</w:t>
            </w:r>
          </w:p>
        </w:tc>
        <w:tc>
          <w:tcPr>
            <w:tcW w:type="dxa" w:w="1218"/>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profit</w:t>
            </w:r>
          </w:p>
        </w:tc>
        <w:tc>
          <w:tcPr>
            <w:tcW w:type="dxa" w:w="1464"/>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6"/>
                <w:szCs w:val="16"/>
              </w:rPr>
              <w:t xml:space="preserve">avg discount pct</w:t>
            </w:r>
          </w:p>
        </w:tc>
      </w:tr>
      <w:tr>
        <w:trPr>
          <w:cantSplit/>
        </w:trPr>
        <w:tc>
          <w:tcPr>
            <w:tcW w:type="dxa" w:w="194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FUR-TA-10004077</w:t>
            </w:r>
          </w:p>
        </w:tc>
        <w:tc>
          <w:tcPr>
            <w:tcW w:type="dxa" w:w="170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Furniture</w:t>
            </w:r>
          </w:p>
        </w:tc>
        <w:tc>
          <w:tcPr>
            <w:tcW w:type="dxa" w:w="134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Tables</w:t>
            </w:r>
          </w:p>
        </w:tc>
        <w:tc>
          <w:tcPr>
            <w:tcW w:type="dxa" w:w="85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6</w:t>
            </w:r>
          </w:p>
        </w:tc>
        <w:tc>
          <w:tcPr>
            <w:tcW w:type="dxa" w:w="121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2,278.80</w:t>
            </w:r>
          </w:p>
        </w:tc>
        <w:tc>
          <w:tcPr>
            <w:tcW w:type="dxa" w:w="121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-49.20</w:t>
            </w:r>
          </w:p>
        </w:tc>
        <w:tc>
          <w:tcPr>
            <w:tcW w:type="dxa" w:w="146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10.00</w:t>
            </w:r>
          </w:p>
        </w:tc>
      </w:tr>
      <w:tr>
        <w:trPr>
          <w:cantSplit/>
        </w:trPr>
        <w:tc>
          <w:tcPr>
            <w:tcW w:type="dxa" w:w="194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FUR-TA-10000986</w:t>
            </w:r>
          </w:p>
        </w:tc>
        <w:tc>
          <w:tcPr>
            <w:tcW w:type="dxa" w:w="170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Furniture</w:t>
            </w:r>
          </w:p>
        </w:tc>
        <w:tc>
          <w:tcPr>
            <w:tcW w:type="dxa" w:w="134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Tables</w:t>
            </w:r>
          </w:p>
        </w:tc>
        <w:tc>
          <w:tcPr>
            <w:tcW w:type="dxa" w:w="85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5</w:t>
            </w:r>
          </w:p>
        </w:tc>
        <w:tc>
          <w:tcPr>
            <w:tcW w:type="dxa" w:w="121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932.00</w:t>
            </w:r>
          </w:p>
        </w:tc>
        <w:tc>
          <w:tcPr>
            <w:tcW w:type="dxa" w:w="121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-38.00</w:t>
            </w:r>
          </w:p>
        </w:tc>
        <w:tc>
          <w:tcPr>
            <w:tcW w:type="dxa" w:w="146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20.00</w:t>
            </w:r>
          </w:p>
        </w:tc>
      </w:tr>
      <w:tr>
        <w:trPr>
          <w:cantSplit/>
        </w:trPr>
        <w:tc>
          <w:tcPr>
            <w:tcW w:type="dxa" w:w="1949"/>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FUR-TA-10003962</w:t>
            </w:r>
          </w:p>
        </w:tc>
        <w:tc>
          <w:tcPr>
            <w:tcW w:type="dxa" w:w="170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Furniture</w:t>
            </w:r>
          </w:p>
        </w:tc>
        <w:tc>
          <w:tcPr>
            <w:tcW w:type="dxa" w:w="134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6"/>
                <w:szCs w:val="16"/>
              </w:rPr>
              <w:t xml:space="preserve">Tables</w:t>
            </w:r>
          </w:p>
        </w:tc>
        <w:tc>
          <w:tcPr>
            <w:tcW w:type="dxa" w:w="85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4</w:t>
            </w:r>
          </w:p>
        </w:tc>
        <w:tc>
          <w:tcPr>
            <w:tcW w:type="dxa" w:w="121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1,404.00</w:t>
            </w:r>
          </w:p>
        </w:tc>
        <w:tc>
          <w:tcPr>
            <w:tcW w:type="dxa" w:w="121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-28.00</w:t>
            </w:r>
          </w:p>
        </w:tc>
        <w:tc>
          <w:tcPr>
            <w:tcW w:type="dxa" w:w="1464"/>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6"/>
                <w:szCs w:val="16"/>
              </w:rPr>
              <w:t xml:space="preserve">10.00</w:t>
            </w:r>
          </w:p>
        </w:tc>
      </w:tr>
      <w:tr>
        <w:trPr>
          <w:cantSplit/>
        </w:trPr>
        <w:tc>
          <w:tcPr>
            <w:tcW w:type="dxa" w:w="1949"/>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OFF-BI-10002540</w:t>
            </w:r>
          </w:p>
        </w:tc>
        <w:tc>
          <w:tcPr>
            <w:tcW w:type="dxa" w:w="170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Office Supplies</w:t>
            </w:r>
          </w:p>
        </w:tc>
        <w:tc>
          <w:tcPr>
            <w:tcW w:type="dxa" w:w="134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6"/>
                <w:szCs w:val="16"/>
              </w:rPr>
              <w:t xml:space="preserve">Binders</w:t>
            </w:r>
          </w:p>
        </w:tc>
        <w:tc>
          <w:tcPr>
            <w:tcW w:type="dxa" w:w="85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33</w:t>
            </w:r>
          </w:p>
        </w:tc>
        <w:tc>
          <w:tcPr>
            <w:tcW w:type="dxa" w:w="121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159.20</w:t>
            </w:r>
          </w:p>
        </w:tc>
        <w:tc>
          <w:tcPr>
            <w:tcW w:type="dxa" w:w="121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-5.80</w:t>
            </w:r>
          </w:p>
        </w:tc>
        <w:tc>
          <w:tcPr>
            <w:tcW w:type="dxa" w:w="1464"/>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6"/>
                <w:szCs w:val="16"/>
              </w:rPr>
              <w:t xml:space="preserve">3.82</w:t>
            </w:r>
          </w:p>
        </w:tc>
      </w:tr>
    </w:tbl>
    <w:p>
      <w:pPr>
        <w:pStyle w:val="Heading1"/>
        <w:spacing w:after="140" w:before="320"/>
      </w:pPr>
      <w:r>
        <w:rPr>
          <w:rFonts w:ascii="Calibri" w:cs="Calibri" w:eastAsia="Calibri" w:hAnsi="Calibri"/>
          <w:b/>
          <w:bCs/>
          <w:color w:val="1F3A5F"/>
          <w:sz w:val="32"/>
          <w:szCs w:val="32"/>
        </w:rPr>
        <w:t xml:space="preserve">4. Step 3 - Power BI Dashboard Build Recipe</w:t>
      </w:r>
    </w:p>
    <w:p>
      <w:pPr>
        <w:pStyle w:val="Heading2"/>
        <w:spacing w:after="100" w:before="240"/>
      </w:pPr>
      <w:r>
        <w:rPr>
          <w:rFonts w:ascii="Calibri" w:cs="Calibri" w:eastAsia="Calibri" w:hAnsi="Calibri"/>
          <w:b/>
          <w:bCs/>
          <w:color w:val="2A9D8F"/>
          <w:sz w:val="26"/>
          <w:szCs w:val="26"/>
        </w:rPr>
        <w:t xml:space="preserve">4.1 Connect and model</w:t>
      </w:r>
    </w:p>
    <w:p>
      <w:pPr>
        <w:pStyle w:val="ListParagraph"/>
        <w:numPr>
          <w:ilvl w:val="0"/>
          <w:numId w:val="2"/>
        </w:numPr>
        <w:spacing w:after="60" w:line="264"/>
      </w:pPr>
      <w:r>
        <w:rPr>
          <w:rFonts w:ascii="Calibri" w:cs="Calibri" w:eastAsia="Calibri" w:hAnsi="Calibri"/>
          <w:sz w:val="21"/>
          <w:szCs w:val="21"/>
        </w:rPr>
        <w:t xml:space="preserve">Open Power BI Desktop. </w:t>
      </w:r>
      <w:r>
        <w:rPr>
          <w:rFonts w:ascii="Calibri" w:cs="Calibri" w:eastAsia="Calibri" w:hAnsi="Calibri"/>
          <w:b/>
          <w:bCs/>
          <w:sz w:val="21"/>
          <w:szCs w:val="21"/>
        </w:rPr>
        <w:t xml:space="preserve">Home &gt; Get data &gt; Text/CSV</w:t>
      </w:r>
      <w:r>
        <w:rPr>
          <w:rFonts w:ascii="Calibri" w:cs="Calibri" w:eastAsia="Calibri" w:hAnsi="Calibri"/>
          <w:sz w:val="21"/>
          <w:szCs w:val="21"/>
        </w:rPr>
        <w:t xml:space="preserve"> and select </w:t>
      </w:r>
      <w:r>
        <w:rPr>
          <w:rFonts w:ascii="Consolas" w:cs="Consolas" w:eastAsia="Consolas" w:hAnsi="Consolas"/>
          <w:color w:val="1F3A5F"/>
          <w:sz w:val="19"/>
          <w:szCs w:val="19"/>
        </w:rPr>
        <w:t xml:space="preserve">data/orders_cleaned.csv</w:t>
      </w:r>
      <w:r>
        <w:rPr>
          <w:rFonts w:ascii="Calibri" w:cs="Calibri" w:eastAsia="Calibri" w:hAnsi="Calibri"/>
          <w:sz w:val="21"/>
          <w:szCs w:val="21"/>
        </w:rPr>
        <w:t xml:space="preserve"> (or </w:t>
      </w:r>
      <w:r>
        <w:rPr>
          <w:rFonts w:ascii="Calibri" w:cs="Calibri" w:eastAsia="Calibri" w:hAnsi="Calibri"/>
          <w:b/>
          <w:bCs/>
          <w:sz w:val="21"/>
          <w:szCs w:val="21"/>
        </w:rPr>
        <w:t xml:space="preserve">SQL Server</w:t>
      </w:r>
      <w:r>
        <w:rPr>
          <w:rFonts w:ascii="Calibri" w:cs="Calibri" w:eastAsia="Calibri" w:hAnsi="Calibri"/>
          <w:sz w:val="21"/>
          <w:szCs w:val="21"/>
        </w:rPr>
        <w:t xml:space="preserve"> with server </w:t>
      </w:r>
      <w:r>
        <w:rPr>
          <w:rFonts w:ascii="Consolas" w:cs="Consolas" w:eastAsia="Consolas" w:hAnsi="Consolas"/>
          <w:color w:val="1F3A5F"/>
          <w:sz w:val="19"/>
          <w:szCs w:val="19"/>
        </w:rPr>
        <w:t xml:space="preserve">localhost</w:t>
      </w:r>
      <w:r>
        <w:rPr>
          <w:rFonts w:ascii="Calibri" w:cs="Calibri" w:eastAsia="Calibri" w:hAnsi="Calibri"/>
          <w:sz w:val="21"/>
          <w:szCs w:val="21"/>
        </w:rPr>
        <w:t xml:space="preserve">, database </w:t>
      </w:r>
      <w:r>
        <w:rPr>
          <w:rFonts w:ascii="Consolas" w:cs="Consolas" w:eastAsia="Consolas" w:hAnsi="Consolas"/>
          <w:color w:val="1F3A5F"/>
          <w:sz w:val="19"/>
          <w:szCs w:val="19"/>
        </w:rPr>
        <w:t xml:space="preserve">GlobalMart</w:t>
      </w:r>
      <w:r>
        <w:rPr>
          <w:rFonts w:ascii="Calibri" w:cs="Calibri" w:eastAsia="Calibri" w:hAnsi="Calibri"/>
          <w:sz w:val="21"/>
          <w:szCs w:val="21"/>
        </w:rPr>
        <w:t xml:space="preserve">, Import mode). To paste ready-made code instead, use </w:t>
      </w:r>
      <w:r>
        <w:rPr>
          <w:rFonts w:ascii="Calibri" w:cs="Calibri" w:eastAsia="Calibri" w:hAnsi="Calibri"/>
          <w:b/>
          <w:bCs/>
          <w:sz w:val="21"/>
          <w:szCs w:val="21"/>
        </w:rPr>
        <w:t xml:space="preserve">Transform data &gt; Advanced Editor</w:t>
      </w:r>
      <w:r>
        <w:rPr>
          <w:rFonts w:ascii="Calibri" w:cs="Calibri" w:eastAsia="Calibri" w:hAnsi="Calibri"/>
          <w:sz w:val="21"/>
          <w:szCs w:val="21"/>
        </w:rPr>
        <w:t xml:space="preserve"> and paste Option A or B from </w:t>
      </w:r>
      <w:r>
        <w:rPr>
          <w:rFonts w:ascii="Consolas" w:cs="Consolas" w:eastAsia="Consolas" w:hAnsi="Consolas"/>
          <w:color w:val="1F3A5F"/>
          <w:sz w:val="19"/>
          <w:szCs w:val="19"/>
        </w:rPr>
        <w:t xml:space="preserve">powerbi/01_power_query_m.txt</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Create a blank query named </w:t>
      </w:r>
      <w:r>
        <w:rPr>
          <w:rFonts w:ascii="Consolas" w:cs="Consolas" w:eastAsia="Consolas" w:hAnsi="Consolas"/>
          <w:color w:val="1F3A5F"/>
          <w:sz w:val="19"/>
          <w:szCs w:val="19"/>
        </w:rPr>
        <w:t xml:space="preserve">dim_date</w:t>
      </w:r>
      <w:r>
        <w:rPr>
          <w:rFonts w:ascii="Calibri" w:cs="Calibri" w:eastAsia="Calibri" w:hAnsi="Calibri"/>
          <w:sz w:val="21"/>
          <w:szCs w:val="21"/>
        </w:rPr>
        <w:t xml:space="preserve">, paste the date-table M code from the same file, and click </w:t>
      </w:r>
      <w:r>
        <w:rPr>
          <w:rFonts w:ascii="Calibri" w:cs="Calibri" w:eastAsia="Calibri" w:hAnsi="Calibri"/>
          <w:b/>
          <w:bCs/>
          <w:sz w:val="21"/>
          <w:szCs w:val="21"/>
        </w:rPr>
        <w:t xml:space="preserve">Close &amp; Apply</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In </w:t>
      </w:r>
      <w:r>
        <w:rPr>
          <w:rFonts w:ascii="Calibri" w:cs="Calibri" w:eastAsia="Calibri" w:hAnsi="Calibri"/>
          <w:b/>
          <w:bCs/>
          <w:sz w:val="21"/>
          <w:szCs w:val="21"/>
        </w:rPr>
        <w:t xml:space="preserve">Model view</w:t>
      </w:r>
      <w:r>
        <w:rPr>
          <w:rFonts w:ascii="Calibri" w:cs="Calibri" w:eastAsia="Calibri" w:hAnsi="Calibri"/>
          <w:sz w:val="21"/>
          <w:szCs w:val="21"/>
        </w:rPr>
        <w:t xml:space="preserve"> create the relationship </w:t>
      </w:r>
      <w:r>
        <w:rPr>
          <w:rFonts w:ascii="Consolas" w:cs="Consolas" w:eastAsia="Consolas" w:hAnsi="Consolas"/>
          <w:color w:val="1F3A5F"/>
          <w:sz w:val="19"/>
          <w:szCs w:val="19"/>
        </w:rPr>
        <w:t xml:space="preserve">dim_date[Date]</w:t>
      </w:r>
      <w:r>
        <w:rPr>
          <w:rFonts w:ascii="Calibri" w:cs="Calibri" w:eastAsia="Calibri" w:hAnsi="Calibri"/>
          <w:sz w:val="21"/>
          <w:szCs w:val="21"/>
        </w:rPr>
        <w:t xml:space="preserve"> (one) to </w:t>
      </w:r>
      <w:r>
        <w:rPr>
          <w:rFonts w:ascii="Consolas" w:cs="Consolas" w:eastAsia="Consolas" w:hAnsi="Consolas"/>
          <w:color w:val="1F3A5F"/>
          <w:sz w:val="19"/>
          <w:szCs w:val="19"/>
        </w:rPr>
        <w:t xml:space="preserve">df_orders[order_date]</w:t>
      </w:r>
      <w:r>
        <w:rPr>
          <w:rFonts w:ascii="Calibri" w:cs="Calibri" w:eastAsia="Calibri" w:hAnsi="Calibri"/>
          <w:sz w:val="21"/>
          <w:szCs w:val="21"/>
        </w:rPr>
        <w:t xml:space="preserve"> (many), single direction. Select dim_date, </w:t>
      </w:r>
      <w:r>
        <w:rPr>
          <w:rFonts w:ascii="Calibri" w:cs="Calibri" w:eastAsia="Calibri" w:hAnsi="Calibri"/>
          <w:b/>
          <w:bCs/>
          <w:sz w:val="21"/>
          <w:szCs w:val="21"/>
        </w:rPr>
        <w:t xml:space="preserve">Table tools &gt; Mark as date table</w:t>
      </w:r>
      <w:r>
        <w:rPr>
          <w:rFonts w:ascii="Calibri" w:cs="Calibri" w:eastAsia="Calibri" w:hAnsi="Calibri"/>
          <w:sz w:val="21"/>
          <w:szCs w:val="21"/>
        </w:rPr>
        <w:t xml:space="preserve">, choose </w:t>
      </w:r>
      <w:r>
        <w:rPr>
          <w:rFonts w:ascii="Consolas" w:cs="Consolas" w:eastAsia="Consolas" w:hAnsi="Consolas"/>
          <w:color w:val="1F3A5F"/>
          <w:sz w:val="19"/>
          <w:szCs w:val="19"/>
        </w:rPr>
        <w:t xml:space="preserve">Date</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Select </w:t>
      </w:r>
      <w:r>
        <w:rPr>
          <w:rFonts w:ascii="Consolas" w:cs="Consolas" w:eastAsia="Consolas" w:hAnsi="Consolas"/>
          <w:color w:val="1F3A5F"/>
          <w:sz w:val="19"/>
          <w:szCs w:val="19"/>
        </w:rPr>
        <w:t xml:space="preserve">Month</w:t>
      </w:r>
      <w:r>
        <w:rPr>
          <w:rFonts w:ascii="Calibri" w:cs="Calibri" w:eastAsia="Calibri" w:hAnsi="Calibri"/>
          <w:sz w:val="21"/>
          <w:szCs w:val="21"/>
        </w:rPr>
        <w:t xml:space="preserve"> in dim_date and </w:t>
      </w:r>
      <w:r>
        <w:rPr>
          <w:rFonts w:ascii="Calibri" w:cs="Calibri" w:eastAsia="Calibri" w:hAnsi="Calibri"/>
          <w:b/>
          <w:bCs/>
          <w:sz w:val="21"/>
          <w:szCs w:val="21"/>
        </w:rPr>
        <w:t xml:space="preserve">Sort by column</w:t>
      </w:r>
      <w:r>
        <w:rPr>
          <w:rFonts w:ascii="Calibri" w:cs="Calibri" w:eastAsia="Calibri" w:hAnsi="Calibri"/>
          <w:sz w:val="21"/>
          <w:szCs w:val="21"/>
        </w:rPr>
        <w:t xml:space="preserve"> </w:t>
      </w:r>
      <w:r>
        <w:rPr>
          <w:rFonts w:ascii="Consolas" w:cs="Consolas" w:eastAsia="Consolas" w:hAnsi="Consolas"/>
          <w:color w:val="1F3A5F"/>
          <w:sz w:val="19"/>
          <w:szCs w:val="19"/>
        </w:rPr>
        <w:t xml:space="preserve">Month No</w:t>
      </w:r>
      <w:r>
        <w:rPr>
          <w:rFonts w:ascii="Calibri" w:cs="Calibri" w:eastAsia="Calibri" w:hAnsi="Calibri"/>
          <w:sz w:val="21"/>
          <w:szCs w:val="21"/>
        </w:rPr>
        <w:t xml:space="preserve">. Do the same for df_orders </w:t>
      </w:r>
      <w:r>
        <w:rPr>
          <w:rFonts w:ascii="Consolas" w:cs="Consolas" w:eastAsia="Consolas" w:hAnsi="Consolas"/>
          <w:color w:val="1F3A5F"/>
          <w:sz w:val="19"/>
          <w:szCs w:val="19"/>
        </w:rPr>
        <w:t xml:space="preserve">order_month_name</w:t>
      </w:r>
      <w:r>
        <w:rPr>
          <w:rFonts w:ascii="Calibri" w:cs="Calibri" w:eastAsia="Calibri" w:hAnsi="Calibri"/>
          <w:sz w:val="21"/>
          <w:szCs w:val="21"/>
        </w:rPr>
        <w:t xml:space="preserve"> sorted by </w:t>
      </w:r>
      <w:r>
        <w:rPr>
          <w:rFonts w:ascii="Consolas" w:cs="Consolas" w:eastAsia="Consolas" w:hAnsi="Consolas"/>
          <w:color w:val="1F3A5F"/>
          <w:sz w:val="19"/>
          <w:szCs w:val="19"/>
        </w:rPr>
        <w:t xml:space="preserve">order_month</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b/>
          <w:bCs/>
          <w:sz w:val="21"/>
          <w:szCs w:val="21"/>
        </w:rPr>
        <w:t xml:space="preserve">Home &gt; Enter data</w:t>
      </w:r>
      <w:r>
        <w:rPr>
          <w:rFonts w:ascii="Calibri" w:cs="Calibri" w:eastAsia="Calibri" w:hAnsi="Calibri"/>
          <w:sz w:val="21"/>
          <w:szCs w:val="21"/>
        </w:rPr>
        <w:t xml:space="preserve">, create an empty table named </w:t>
      </w:r>
      <w:r>
        <w:rPr>
          <w:rFonts w:ascii="Consolas" w:cs="Consolas" w:eastAsia="Consolas" w:hAnsi="Consolas"/>
          <w:color w:val="1F3A5F"/>
          <w:sz w:val="19"/>
          <w:szCs w:val="19"/>
        </w:rPr>
        <w:t xml:space="preserve">_Measures</w:t>
      </w:r>
      <w:r>
        <w:rPr>
          <w:rFonts w:ascii="Calibri" w:cs="Calibri" w:eastAsia="Calibri" w:hAnsi="Calibri"/>
          <w:sz w:val="21"/>
          <w:szCs w:val="21"/>
        </w:rPr>
        <w:t xml:space="preserve">, and paste the measures from </w:t>
      </w:r>
      <w:r>
        <w:rPr>
          <w:rFonts w:ascii="Consolas" w:cs="Consolas" w:eastAsia="Consolas" w:hAnsi="Consolas"/>
          <w:color w:val="1F3A5F"/>
          <w:sz w:val="19"/>
          <w:szCs w:val="19"/>
        </w:rPr>
        <w:t xml:space="preserve">powerbi/02_dax_measures.txt</w:t>
      </w:r>
      <w:r>
        <w:rPr>
          <w:rFonts w:ascii="Calibri" w:cs="Calibri" w:eastAsia="Calibri" w:hAnsi="Calibri"/>
          <w:sz w:val="21"/>
          <w:szCs w:val="21"/>
        </w:rPr>
        <w:t xml:space="preserve"> one at a time (New measure).</w:t>
      </w:r>
    </w:p>
    <w:p>
      <w:pPr>
        <w:pStyle w:val="ListParagraph"/>
        <w:numPr>
          <w:ilvl w:val="0"/>
          <w:numId w:val="2"/>
        </w:numPr>
        <w:spacing w:after="60" w:line="264"/>
      </w:pPr>
      <w:r>
        <w:rPr>
          <w:rFonts w:ascii="Calibri" w:cs="Calibri" w:eastAsia="Calibri" w:hAnsi="Calibri"/>
          <w:b/>
          <w:bCs/>
          <w:sz w:val="21"/>
          <w:szCs w:val="21"/>
        </w:rPr>
        <w:t xml:space="preserve">View &gt; Themes &gt; Browse for themes</w:t>
      </w:r>
      <w:r>
        <w:rPr>
          <w:rFonts w:ascii="Calibri" w:cs="Calibri" w:eastAsia="Calibri" w:hAnsi="Calibri"/>
          <w:sz w:val="21"/>
          <w:szCs w:val="21"/>
        </w:rPr>
        <w:t xml:space="preserve"> and load </w:t>
      </w:r>
      <w:r>
        <w:rPr>
          <w:rFonts w:ascii="Consolas" w:cs="Consolas" w:eastAsia="Consolas" w:hAnsi="Consolas"/>
          <w:color w:val="1F3A5F"/>
          <w:sz w:val="19"/>
          <w:szCs w:val="19"/>
        </w:rPr>
        <w:t xml:space="preserve">powerbi/03_theme_globalmart.json</w:t>
      </w:r>
      <w:r>
        <w:rPr>
          <w:rFonts w:ascii="Calibri" w:cs="Calibri" w:eastAsia="Calibri" w:hAnsi="Calibri"/>
          <w:sz w:val="21"/>
          <w:szCs w:val="21"/>
        </w:rPr>
        <w:t xml:space="preserve">.</w:t>
      </w:r>
    </w:p>
    <w:p>
      <w:pPr>
        <w:pStyle w:val="ListParagraph"/>
        <w:numPr>
          <w:ilvl w:val="0"/>
          <w:numId w:val="2"/>
        </w:numPr>
        <w:spacing w:after="60" w:line="264"/>
      </w:pPr>
      <w:r>
        <w:rPr>
          <w:rFonts w:ascii="Calibri" w:cs="Calibri" w:eastAsia="Calibri" w:hAnsi="Calibri"/>
          <w:sz w:val="21"/>
          <w:szCs w:val="21"/>
        </w:rPr>
        <w:t xml:space="preserve">Format measures: </w:t>
      </w:r>
      <w:r>
        <w:rPr>
          <w:rFonts w:ascii="Consolas" w:cs="Consolas" w:eastAsia="Consolas" w:hAnsi="Consolas"/>
          <w:color w:val="1F3A5F"/>
          <w:sz w:val="19"/>
          <w:szCs w:val="19"/>
        </w:rPr>
        <w:t xml:space="preserve">Discount Rate %</w:t>
      </w:r>
      <w:r>
        <w:rPr>
          <w:rFonts w:ascii="Calibri" w:cs="Calibri" w:eastAsia="Calibri" w:hAnsi="Calibri"/>
          <w:sz w:val="21"/>
          <w:szCs w:val="21"/>
        </w:rPr>
        <w:t xml:space="preserve">, </w:t>
      </w:r>
      <w:r>
        <w:rPr>
          <w:rFonts w:ascii="Consolas" w:cs="Consolas" w:eastAsia="Consolas" w:hAnsi="Consolas"/>
          <w:color w:val="1F3A5F"/>
          <w:sz w:val="19"/>
          <w:szCs w:val="19"/>
        </w:rPr>
        <w:t xml:space="preserve">Profit Margin %</w:t>
      </w:r>
      <w:r>
        <w:rPr>
          <w:rFonts w:ascii="Calibri" w:cs="Calibri" w:eastAsia="Calibri" w:hAnsi="Calibri"/>
          <w:sz w:val="21"/>
          <w:szCs w:val="21"/>
        </w:rPr>
        <w:t xml:space="preserve">, </w:t>
      </w:r>
      <w:r>
        <w:rPr>
          <w:rFonts w:ascii="Consolas" w:cs="Consolas" w:eastAsia="Consolas" w:hAnsi="Consolas"/>
          <w:color w:val="1F3A5F"/>
          <w:sz w:val="19"/>
          <w:szCs w:val="19"/>
        </w:rPr>
        <w:t xml:space="preserve">Revenue YoY %</w:t>
      </w:r>
      <w:r>
        <w:rPr>
          <w:rFonts w:ascii="Calibri" w:cs="Calibri" w:eastAsia="Calibri" w:hAnsi="Calibri"/>
          <w:sz w:val="21"/>
          <w:szCs w:val="21"/>
        </w:rPr>
        <w:t xml:space="preserve"> as percentage (1 decimal); revenue and profit as currency with no decimals.</w:t>
      </w:r>
    </w:p>
    <w:p>
      <w:pPr>
        <w:pStyle w:val="Heading2"/>
        <w:spacing w:after="100" w:before="240"/>
      </w:pPr>
      <w:r>
        <w:rPr>
          <w:rFonts w:ascii="Calibri" w:cs="Calibri" w:eastAsia="Calibri" w:hAnsi="Calibri"/>
          <w:b/>
          <w:bCs/>
          <w:color w:val="2A9D8F"/>
          <w:sz w:val="26"/>
          <w:szCs w:val="26"/>
        </w:rPr>
        <w:t xml:space="preserve">4.2 Core DAX measures</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Revenue Pre Discount  = SUM ( df_orders[gross_revenue]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Revenue Post Discount = SUM ( df_orders[net_revenue]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Total Profit          = SUM ( df_orders[total_profit]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Total Orders          = DISTINCTCOUNT ( df_orders[order_id]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Discount Rate %  = DIVIDE ( SUM ( df_orders[discount_amount] ), [Revenue Pre Discount]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Profit Margin %  = DIVIDE ( [Total Profit], [Revenue Post Discount]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Revenue PY    = CALCULATE ( [Revenue Post Discount], SAMEPERIODLASTYEAR ( dim_date[Date] )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Revenue YoY % = DIVIDE ( [Revenue Post Discount] - [Revenue PY], [Revenue PY]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City Revenue Rank = RANKX ( ALL ( df_orders[city] ), [Revenue Post Discount], , DESC, DENSE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 </w:t>
      </w:r>
    </w:p>
    <w:p>
      <w:pPr>
        <w:keepNext/>
        <w:keepLines/>
        <w:pBdr>
          <w:left w:val="single" w:color="2A9D8F" w:sz="12" w:space="6"/>
        </w:pBdr>
        <w:shd w:fill="F3F4F6" w:color="auto" w:val="clear"/>
        <w:spacing w:after="0" w:line="228"/>
        <w:ind w:left="120"/>
      </w:pPr>
      <w:r>
        <w:rPr>
          <w:rFonts w:ascii="Consolas" w:cs="Consolas" w:eastAsia="Consolas" w:hAnsi="Consolas"/>
          <w:sz w:val="17"/>
          <w:szCs w:val="17"/>
        </w:rPr>
        <w:t xml:space="preserve">Margin Colour = SWITCH ( TRUE (), [Profit Margin %] &lt; 0.15, "#C0392B",</w:t>
      </w:r>
    </w:p>
    <w:p>
      <w:pPr>
        <w:keepNext w:val="false"/>
        <w:keepLines/>
        <w:pBdr>
          <w:left w:val="single" w:color="2A9D8F" w:sz="12" w:space="6"/>
        </w:pBdr>
        <w:shd w:fill="F3F4F6" w:color="auto" w:val="clear"/>
        <w:spacing w:after="0" w:line="228"/>
        <w:ind w:left="120"/>
      </w:pPr>
      <w:r>
        <w:rPr>
          <w:rFonts w:ascii="Consolas" w:cs="Consolas" w:eastAsia="Consolas" w:hAnsi="Consolas"/>
          <w:sz w:val="17"/>
          <w:szCs w:val="17"/>
        </w:rPr>
        <w:t xml:space="preserve">                                  [Profit Margin %] &lt; 0.25, "#F4A261", "#2A9D8F" )</w:t>
      </w:r>
    </w:p>
    <w:p>
      <w:pPr>
        <w:spacing w:after="80"/>
      </w:pPr>
    </w:p>
    <w:p>
      <w:pPr>
        <w:spacing w:after="80"/>
      </w:pPr>
      <w:r>
        <w:rPr>
          <w:rFonts w:ascii="Calibri" w:cs="Calibri" w:eastAsia="Calibri" w:hAnsi="Calibri"/>
          <w:i/>
          <w:iCs/>
          <w:color w:val="52606D"/>
          <w:sz w:val="18"/>
          <w:szCs w:val="18"/>
        </w:rPr>
        <w:t xml:space="preserve">The full set (about 25 measures including YTD, profit YoY, deep-discount share and dynamic titles) is in powerbi/02_dax_measures.txt.</w:t>
      </w:r>
    </w:p>
    <w:p>
      <w:pPr>
        <w:pStyle w:val="Heading2"/>
        <w:spacing w:after="100" w:before="240"/>
      </w:pPr>
      <w:r>
        <w:rPr>
          <w:rFonts w:ascii="Calibri" w:cs="Calibri" w:eastAsia="Calibri" w:hAnsi="Calibri"/>
          <w:b/>
          <w:bCs/>
          <w:color w:val="2A9D8F"/>
          <w:sz w:val="26"/>
          <w:szCs w:val="26"/>
        </w:rPr>
        <w:t xml:space="preserve">4.3 Page layout</w:t>
      </w:r>
    </w:p>
    <w:p>
      <w:pPr>
        <w:pStyle w:val="Heading3"/>
        <w:spacing w:after="80" w:before="180"/>
      </w:pPr>
      <w:r>
        <w:rPr>
          <w:rFonts w:ascii="Calibri" w:cs="Calibri" w:eastAsia="Calibri" w:hAnsi="Calibri"/>
          <w:b/>
          <w:bCs/>
          <w:color w:val="1F3A5F"/>
          <w:sz w:val="22"/>
          <w:szCs w:val="22"/>
        </w:rPr>
        <w:t xml:space="preserve">Page 1 - Sales Overview</w:t>
      </w:r>
    </w:p>
    <w:p>
      <w:pPr>
        <w:pStyle w:val="ListParagraph"/>
        <w:numPr>
          <w:ilvl w:val="0"/>
          <w:numId w:val="3"/>
        </w:numPr>
        <w:spacing w:after="50" w:line="264"/>
      </w:pPr>
      <w:r>
        <w:rPr>
          <w:rFonts w:ascii="Calibri" w:cs="Calibri" w:eastAsia="Calibri" w:hAnsi="Calibri"/>
          <w:sz w:val="21"/>
          <w:szCs w:val="21"/>
        </w:rPr>
        <w:t xml:space="preserve">Slicers (top row): Year, Region, Category, Segment</w:t>
      </w:r>
    </w:p>
    <w:p>
      <w:pPr>
        <w:pStyle w:val="ListParagraph"/>
        <w:numPr>
          <w:ilvl w:val="0"/>
          <w:numId w:val="3"/>
        </w:numPr>
        <w:spacing w:after="50" w:line="264"/>
      </w:pPr>
      <w:r>
        <w:rPr>
          <w:rFonts w:ascii="Calibri" w:cs="Calibri" w:eastAsia="Calibri" w:hAnsi="Calibri"/>
          <w:sz w:val="21"/>
          <w:szCs w:val="21"/>
        </w:rPr>
        <w:t xml:space="preserve">KPI cards: Total Orders, Revenue Pre Discount, Revenue Post Discount, Total Profit, Discount Rate %, Profit Margin %</w:t>
      </w:r>
    </w:p>
    <w:p>
      <w:pPr>
        <w:pStyle w:val="ListParagraph"/>
        <w:numPr>
          <w:ilvl w:val="0"/>
          <w:numId w:val="3"/>
        </w:numPr>
        <w:spacing w:after="50" w:line="264"/>
      </w:pPr>
      <w:r>
        <w:rPr>
          <w:rFonts w:ascii="Calibri" w:cs="Calibri" w:eastAsia="Calibri" w:hAnsi="Calibri"/>
          <w:sz w:val="21"/>
          <w:szCs w:val="21"/>
        </w:rPr>
        <w:t xml:space="preserve">Line chart: Revenue Post Discount by </w:t>
      </w:r>
      <w:r>
        <w:rPr>
          <w:rFonts w:ascii="Consolas" w:cs="Consolas" w:eastAsia="Consolas" w:hAnsi="Consolas"/>
          <w:color w:val="1F3A5F"/>
          <w:sz w:val="19"/>
          <w:szCs w:val="19"/>
        </w:rPr>
        <w:t xml:space="preserve">Month</w:t>
      </w:r>
      <w:r>
        <w:rPr>
          <w:rFonts w:ascii="Calibri" w:cs="Calibri" w:eastAsia="Calibri" w:hAnsi="Calibri"/>
          <w:sz w:val="21"/>
          <w:szCs w:val="21"/>
        </w:rPr>
        <w:t xml:space="preserve"> with </w:t>
      </w:r>
      <w:r>
        <w:rPr>
          <w:rFonts w:ascii="Consolas" w:cs="Consolas" w:eastAsia="Consolas" w:hAnsi="Consolas"/>
          <w:color w:val="1F3A5F"/>
          <w:sz w:val="19"/>
          <w:szCs w:val="19"/>
        </w:rPr>
        <w:t xml:space="preserve">Year</w:t>
      </w:r>
      <w:r>
        <w:rPr>
          <w:rFonts w:ascii="Calibri" w:cs="Calibri" w:eastAsia="Calibri" w:hAnsi="Calibri"/>
          <w:sz w:val="21"/>
          <w:szCs w:val="21"/>
        </w:rPr>
        <w:t xml:space="preserve"> in the legend (2022 vs 2023 on one chart)</w:t>
      </w:r>
    </w:p>
    <w:p>
      <w:pPr>
        <w:pStyle w:val="ListParagraph"/>
        <w:numPr>
          <w:ilvl w:val="0"/>
          <w:numId w:val="3"/>
        </w:numPr>
        <w:spacing w:after="50" w:line="264"/>
      </w:pPr>
      <w:r>
        <w:rPr>
          <w:rFonts w:ascii="Calibri" w:cs="Calibri" w:eastAsia="Calibri" w:hAnsi="Calibri"/>
          <w:sz w:val="21"/>
          <w:szCs w:val="21"/>
        </w:rPr>
        <w:t xml:space="preserve">Clustered column: Revenue and Profit by Region; Donut or bar: Revenue by Segment</w:t>
      </w:r>
    </w:p>
    <w:p>
      <w:pPr>
        <w:pStyle w:val="ListParagraph"/>
        <w:numPr>
          <w:ilvl w:val="0"/>
          <w:numId w:val="3"/>
        </w:numPr>
        <w:spacing w:after="50" w:line="264"/>
      </w:pPr>
      <w:r>
        <w:rPr>
          <w:rFonts w:ascii="Calibri" w:cs="Calibri" w:eastAsia="Calibri" w:hAnsi="Calibri"/>
          <w:sz w:val="21"/>
          <w:szCs w:val="21"/>
        </w:rPr>
        <w:t xml:space="preserve">Text box: three-line insight that updates your story (for example YoY growth and the strongest region)</w:t>
      </w:r>
    </w:p>
    <w:p>
      <w:pPr>
        <w:pStyle w:val="Heading3"/>
        <w:spacing w:after="80" w:before="180"/>
      </w:pPr>
      <w:r>
        <w:rPr>
          <w:rFonts w:ascii="Calibri" w:cs="Calibri" w:eastAsia="Calibri" w:hAnsi="Calibri"/>
          <w:b/>
          <w:bCs/>
          <w:color w:val="1F3A5F"/>
          <w:sz w:val="22"/>
          <w:szCs w:val="22"/>
        </w:rPr>
        <w:t xml:space="preserve">Page 2 - Shipping &amp; Geography</w:t>
      </w:r>
    </w:p>
    <w:p>
      <w:pPr>
        <w:pStyle w:val="ListParagraph"/>
        <w:numPr>
          <w:ilvl w:val="0"/>
          <w:numId w:val="3"/>
        </w:numPr>
        <w:spacing w:after="50" w:line="264"/>
      </w:pPr>
      <w:r>
        <w:rPr>
          <w:rFonts w:ascii="Calibri" w:cs="Calibri" w:eastAsia="Calibri" w:hAnsi="Calibri"/>
          <w:sz w:val="21"/>
          <w:szCs w:val="21"/>
        </w:rPr>
        <w:t xml:space="preserve">Bar chart: Total Orders by </w:t>
      </w:r>
      <w:r>
        <w:rPr>
          <w:rFonts w:ascii="Consolas" w:cs="Consolas" w:eastAsia="Consolas" w:hAnsi="Consolas"/>
          <w:color w:val="1F3A5F"/>
          <w:sz w:val="19"/>
          <w:szCs w:val="19"/>
        </w:rPr>
        <w:t xml:space="preserve">ship_mode</w:t>
      </w:r>
      <w:r>
        <w:rPr>
          <w:rFonts w:ascii="Calibri" w:cs="Calibri" w:eastAsia="Calibri" w:hAnsi="Calibri"/>
          <w:sz w:val="21"/>
          <w:szCs w:val="21"/>
        </w:rPr>
        <w:t xml:space="preserve">, sorted descending, with data labels showing </w:t>
      </w:r>
      <w:r>
        <w:rPr>
          <w:rFonts w:ascii="Consolas" w:cs="Consolas" w:eastAsia="Consolas" w:hAnsi="Consolas"/>
          <w:color w:val="1F3A5F"/>
          <w:sz w:val="19"/>
          <w:szCs w:val="19"/>
        </w:rPr>
        <w:t xml:space="preserve">Orders % of Total</w:t>
      </w:r>
      <w:r>
        <w:rPr>
          <w:rFonts w:ascii="Calibri" w:cs="Calibri" w:eastAsia="Calibri" w:hAnsi="Calibri"/>
          <w:sz w:val="21"/>
          <w:szCs w:val="21"/>
        </w:rPr>
        <w:t xml:space="preserve"> (required visual: popular ship modes)</w:t>
      </w:r>
    </w:p>
    <w:p>
      <w:pPr>
        <w:pStyle w:val="ListParagraph"/>
        <w:numPr>
          <w:ilvl w:val="0"/>
          <w:numId w:val="3"/>
        </w:numPr>
        <w:spacing w:after="50" w:line="264"/>
      </w:pPr>
      <w:r>
        <w:rPr>
          <w:rFonts w:ascii="Calibri" w:cs="Calibri" w:eastAsia="Calibri" w:hAnsi="Calibri"/>
          <w:sz w:val="21"/>
          <w:szCs w:val="21"/>
        </w:rPr>
        <w:t xml:space="preserve">Bar chart: Top 10 </w:t>
      </w:r>
      <w:r>
        <w:rPr>
          <w:rFonts w:ascii="Consolas" w:cs="Consolas" w:eastAsia="Consolas" w:hAnsi="Consolas"/>
          <w:color w:val="1F3A5F"/>
          <w:sz w:val="19"/>
          <w:szCs w:val="19"/>
        </w:rPr>
        <w:t xml:space="preserve">city</w:t>
      </w:r>
      <w:r>
        <w:rPr>
          <w:rFonts w:ascii="Calibri" w:cs="Calibri" w:eastAsia="Calibri" w:hAnsi="Calibri"/>
          <w:sz w:val="21"/>
          <w:szCs w:val="21"/>
        </w:rPr>
        <w:t xml:space="preserve"> by Revenue Post Discount (Visual-level Top N filter = 10 by the revenue measure) (required visual: city revenue ranking)</w:t>
      </w:r>
    </w:p>
    <w:p>
      <w:pPr>
        <w:pStyle w:val="ListParagraph"/>
        <w:numPr>
          <w:ilvl w:val="0"/>
          <w:numId w:val="3"/>
        </w:numPr>
        <w:spacing w:after="50" w:line="264"/>
      </w:pPr>
      <w:r>
        <w:rPr>
          <w:rFonts w:ascii="Calibri" w:cs="Calibri" w:eastAsia="Calibri" w:hAnsi="Calibri"/>
          <w:sz w:val="21"/>
          <w:szCs w:val="21"/>
        </w:rPr>
        <w:t xml:space="preserve">Filled map or bar by </w:t>
      </w:r>
      <w:r>
        <w:rPr>
          <w:rFonts w:ascii="Consolas" w:cs="Consolas" w:eastAsia="Consolas" w:hAnsi="Consolas"/>
          <w:color w:val="1F3A5F"/>
          <w:sz w:val="19"/>
          <w:szCs w:val="19"/>
        </w:rPr>
        <w:t xml:space="preserve">state</w:t>
      </w:r>
      <w:r>
        <w:rPr>
          <w:rFonts w:ascii="Calibri" w:cs="Calibri" w:eastAsia="Calibri" w:hAnsi="Calibri"/>
          <w:sz w:val="21"/>
          <w:szCs w:val="21"/>
        </w:rPr>
        <w:t xml:space="preserve">; matrix of Region x Segment revenue</w:t>
      </w:r>
    </w:p>
    <w:p>
      <w:pPr>
        <w:pStyle w:val="ListParagraph"/>
        <w:numPr>
          <w:ilvl w:val="0"/>
          <w:numId w:val="3"/>
        </w:numPr>
        <w:spacing w:after="50" w:line="264"/>
      </w:pPr>
      <w:r>
        <w:rPr>
          <w:rFonts w:ascii="Calibri" w:cs="Calibri" w:eastAsia="Calibri" w:hAnsi="Calibri"/>
          <w:sz w:val="21"/>
          <w:szCs w:val="21"/>
        </w:rPr>
        <w:t xml:space="preserve">Drill-through page on City showing orders, revenue, margin and top products</w:t>
      </w:r>
    </w:p>
    <w:p>
      <w:pPr>
        <w:spacing w:after="100" w:before="60"/>
        <w:jc w:val="center"/>
      </w:pPr>
      <w:r>
        <w:drawing>
          <wp:inline distT="0" distB="0" distL="0" distR="0">
            <wp:extent cx="4476750" cy="2533650"/>
            <wp:effectExtent t="0" r="0" b="0" l="0"/>
            <wp:docPr id="1" name="chart" descr="reference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2533650"/>
                    </a:xfrm>
                    <a:prstGeom prst="rect">
                      <a:avLst/>
                    </a:prstGeom>
                  </pic:spPr>
                </pic:pic>
              </a:graphicData>
            </a:graphic>
          </wp:inline>
        </w:drawing>
      </w:r>
    </w:p>
    <w:p>
      <w:pPr>
        <w:spacing w:after="100" w:before="60"/>
        <w:jc w:val="center"/>
      </w:pPr>
      <w:r>
        <w:drawing>
          <wp:inline distT="0" distB="0" distL="0" distR="0">
            <wp:extent cx="4476750" cy="2914650"/>
            <wp:effectExtent t="0" r="0" b="0" l="0"/>
            <wp:docPr id="1" name="chart" descr="reference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476750" cy="2914650"/>
                    </a:xfrm>
                    <a:prstGeom prst="rect">
                      <a:avLst/>
                    </a:prstGeom>
                  </pic:spPr>
                </pic:pic>
              </a:graphicData>
            </a:graphic>
          </wp:inline>
        </w:drawing>
      </w:r>
    </w:p>
    <w:p>
      <w:pPr>
        <w:pStyle w:val="Heading3"/>
        <w:spacing w:after="80" w:before="180"/>
      </w:pPr>
      <w:r>
        <w:rPr>
          <w:rFonts w:ascii="Calibri" w:cs="Calibri" w:eastAsia="Calibri" w:hAnsi="Calibri"/>
          <w:b/>
          <w:bCs/>
          <w:color w:val="1F3A5F"/>
          <w:sz w:val="22"/>
          <w:szCs w:val="22"/>
        </w:rPr>
        <w:t xml:space="preserve">Page 3 - Discounts &amp; Profitability</w:t>
      </w:r>
    </w:p>
    <w:p>
      <w:pPr>
        <w:pStyle w:val="ListParagraph"/>
        <w:numPr>
          <w:ilvl w:val="0"/>
          <w:numId w:val="3"/>
        </w:numPr>
        <w:spacing w:after="50" w:line="264"/>
      </w:pPr>
      <w:r>
        <w:rPr>
          <w:rFonts w:ascii="Calibri" w:cs="Calibri" w:eastAsia="Calibri" w:hAnsi="Calibri"/>
          <w:sz w:val="21"/>
          <w:szCs w:val="21"/>
        </w:rPr>
        <w:t xml:space="preserve">Clustered column: Discount Rate % and Profit Margin % by </w:t>
      </w:r>
      <w:r>
        <w:rPr>
          <w:rFonts w:ascii="Consolas" w:cs="Consolas" w:eastAsia="Consolas" w:hAnsi="Consolas"/>
          <w:color w:val="1F3A5F"/>
          <w:sz w:val="19"/>
          <w:szCs w:val="19"/>
        </w:rPr>
        <w:t xml:space="preserve">category</w:t>
      </w:r>
      <w:r>
        <w:rPr>
          <w:rFonts w:ascii="Calibri" w:cs="Calibri" w:eastAsia="Calibri" w:hAnsi="Calibri"/>
          <w:sz w:val="21"/>
          <w:szCs w:val="21"/>
        </w:rPr>
        <w:t xml:space="preserve"> (required visual: category discount rates)</w:t>
      </w:r>
    </w:p>
    <w:p>
      <w:pPr>
        <w:pStyle w:val="ListParagraph"/>
        <w:numPr>
          <w:ilvl w:val="0"/>
          <w:numId w:val="3"/>
        </w:numPr>
        <w:spacing w:after="50" w:line="264"/>
      </w:pPr>
      <w:r>
        <w:rPr>
          <w:rFonts w:ascii="Calibri" w:cs="Calibri" w:eastAsia="Calibri" w:hAnsi="Calibri"/>
          <w:sz w:val="21"/>
          <w:szCs w:val="21"/>
        </w:rPr>
        <w:t xml:space="preserve">Scatter: x = Discount Rate %, y = Profit Margin %, size = Revenue Post Discount, details = </w:t>
      </w:r>
      <w:r>
        <w:rPr>
          <w:rFonts w:ascii="Consolas" w:cs="Consolas" w:eastAsia="Consolas" w:hAnsi="Consolas"/>
          <w:color w:val="1F3A5F"/>
          <w:sz w:val="19"/>
          <w:szCs w:val="19"/>
        </w:rPr>
        <w:t xml:space="preserve">sub_category</w:t>
      </w:r>
    </w:p>
    <w:p>
      <w:pPr>
        <w:pStyle w:val="ListParagraph"/>
        <w:numPr>
          <w:ilvl w:val="0"/>
          <w:numId w:val="3"/>
        </w:numPr>
        <w:spacing w:after="50" w:line="264"/>
      </w:pPr>
      <w:r>
        <w:rPr>
          <w:rFonts w:ascii="Calibri" w:cs="Calibri" w:eastAsia="Calibri" w:hAnsi="Calibri"/>
          <w:sz w:val="21"/>
          <w:szCs w:val="21"/>
        </w:rPr>
        <w:t xml:space="preserve">Bar chart: Top 10 products by Total Profit with data labels and </w:t>
      </w:r>
      <w:r>
        <w:rPr>
          <w:rFonts w:ascii="Consolas" w:cs="Consolas" w:eastAsia="Consolas" w:hAnsi="Consolas"/>
          <w:color w:val="1F3A5F"/>
          <w:sz w:val="19"/>
          <w:szCs w:val="19"/>
        </w:rPr>
        <w:t xml:space="preserve">Margin Colour</w:t>
      </w:r>
      <w:r>
        <w:rPr>
          <w:rFonts w:ascii="Calibri" w:cs="Calibri" w:eastAsia="Calibri" w:hAnsi="Calibri"/>
          <w:sz w:val="21"/>
          <w:szCs w:val="21"/>
        </w:rPr>
        <w:t xml:space="preserve"> conditional formatting (required visual: product profitability)</w:t>
      </w:r>
    </w:p>
    <w:p>
      <w:pPr>
        <w:pStyle w:val="ListParagraph"/>
        <w:numPr>
          <w:ilvl w:val="0"/>
          <w:numId w:val="3"/>
        </w:numPr>
        <w:spacing w:after="50" w:line="264"/>
      </w:pPr>
      <w:r>
        <w:rPr>
          <w:rFonts w:ascii="Calibri" w:cs="Calibri" w:eastAsia="Calibri" w:hAnsi="Calibri"/>
          <w:sz w:val="21"/>
          <w:szCs w:val="21"/>
        </w:rPr>
        <w:t xml:space="preserve">Table: loss-making products (filter </w:t>
      </w:r>
      <w:r>
        <w:rPr>
          <w:rFonts w:ascii="Consolas" w:cs="Consolas" w:eastAsia="Consolas" w:hAnsi="Consolas"/>
          <w:color w:val="1F3A5F"/>
          <w:sz w:val="19"/>
          <w:szCs w:val="19"/>
        </w:rPr>
        <w:t xml:space="preserve">Total Profit</w:t>
      </w:r>
      <w:r>
        <w:rPr>
          <w:rFonts w:ascii="Calibri" w:cs="Calibri" w:eastAsia="Calibri" w:hAnsi="Calibri"/>
          <w:sz w:val="21"/>
          <w:szCs w:val="21"/>
        </w:rPr>
        <w:t xml:space="preserve"> &lt; 0); line + column combo of margin and units per discount level (</w:t>
      </w:r>
      <w:r>
        <w:rPr>
          <w:rFonts w:ascii="Consolas" w:cs="Consolas" w:eastAsia="Consolas" w:hAnsi="Consolas"/>
          <w:color w:val="1F3A5F"/>
          <w:sz w:val="19"/>
          <w:szCs w:val="19"/>
        </w:rPr>
        <w:t xml:space="preserve">discount_percent</w:t>
      </w:r>
      <w:r>
        <w:rPr>
          <w:rFonts w:ascii="Calibri" w:cs="Calibri" w:eastAsia="Calibri" w:hAnsi="Calibri"/>
          <w:sz w:val="21"/>
          <w:szCs w:val="21"/>
        </w:rPr>
        <w:t xml:space="preserve">)</w:t>
      </w:r>
    </w:p>
    <w:p>
      <w:pPr>
        <w:spacing w:after="100" w:before="60"/>
        <w:jc w:val="center"/>
      </w:pPr>
      <w:r>
        <w:drawing>
          <wp:inline distT="0" distB="0" distL="0" distR="0">
            <wp:extent cx="4476750" cy="2686050"/>
            <wp:effectExtent t="0" r="0" b="0" l="0"/>
            <wp:docPr id="1" name="chart" descr="reference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476750" cy="2686050"/>
                    </a:xfrm>
                    <a:prstGeom prst="rect">
                      <a:avLst/>
                    </a:prstGeom>
                  </pic:spPr>
                </pic:pic>
              </a:graphicData>
            </a:graphic>
          </wp:inline>
        </w:drawing>
      </w:r>
    </w:p>
    <w:p>
      <w:pPr>
        <w:spacing w:after="100" w:before="60"/>
        <w:jc w:val="center"/>
      </w:pPr>
      <w:r>
        <w:drawing>
          <wp:inline distT="0" distB="0" distL="0" distR="0">
            <wp:extent cx="4476750" cy="2914650"/>
            <wp:effectExtent t="0" r="0" b="0" l="0"/>
            <wp:docPr id="1" name="chart" descr="reference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476750" cy="2914650"/>
                    </a:xfrm>
                    <a:prstGeom prst="rect">
                      <a:avLst/>
                    </a:prstGeom>
                  </pic:spPr>
                </pic:pic>
              </a:graphicData>
            </a:graphic>
          </wp:inline>
        </w:drawing>
      </w:r>
    </w:p>
    <w:p>
      <w:pPr>
        <w:spacing w:after="100" w:before="60"/>
        <w:jc w:val="center"/>
      </w:pPr>
      <w:r>
        <w:drawing>
          <wp:inline distT="0" distB="0" distL="0" distR="0">
            <wp:extent cx="4476750" cy="2686050"/>
            <wp:effectExtent t="0" r="0" b="0" l="0"/>
            <wp:docPr id="1" name="chart" descr="reference chart" title="cha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476750" cy="2686050"/>
                    </a:xfrm>
                    <a:prstGeom prst="rect">
                      <a:avLst/>
                    </a:prstGeom>
                  </pic:spPr>
                </pic:pic>
              </a:graphicData>
            </a:graphic>
          </wp:inline>
        </w:drawing>
      </w:r>
    </w:p>
    <w:p>
      <w:pPr>
        <w:spacing w:after="80"/>
      </w:pPr>
      <w:r>
        <w:rPr>
          <w:rFonts w:ascii="Calibri" w:cs="Calibri" w:eastAsia="Calibri" w:hAnsi="Calibri"/>
          <w:i/>
          <w:iCs/>
          <w:color w:val="52606D"/>
          <w:sz w:val="18"/>
          <w:szCs w:val="18"/>
        </w:rPr>
        <w:t xml:space="preserve">Images above are reference renderings of each visual's data, produced from the SQL results. Your Power BI visuals should show the same numbers.</w:t>
      </w:r>
    </w:p>
    <w:p>
      <w:pPr>
        <w:pStyle w:val="Heading2"/>
        <w:spacing w:after="100" w:before="240"/>
      </w:pPr>
      <w:r>
        <w:rPr>
          <w:rFonts w:ascii="Calibri" w:cs="Calibri" w:eastAsia="Calibri" w:hAnsi="Calibri"/>
          <w:b/>
          <w:bCs/>
          <w:color w:val="2A9D8F"/>
          <w:sz w:val="26"/>
          <w:szCs w:val="26"/>
        </w:rPr>
        <w:t xml:space="preserve">4.4 Polish checklist</w:t>
      </w:r>
    </w:p>
    <w:p>
      <w:pPr>
        <w:pStyle w:val="ListParagraph"/>
        <w:numPr>
          <w:ilvl w:val="0"/>
          <w:numId w:val="3"/>
        </w:numPr>
        <w:spacing w:after="50" w:line="264"/>
      </w:pPr>
      <w:r>
        <w:rPr>
          <w:rFonts w:ascii="Calibri" w:cs="Calibri" w:eastAsia="Calibri" w:hAnsi="Calibri"/>
          <w:sz w:val="21"/>
          <w:szCs w:val="21"/>
        </w:rPr>
        <w:t xml:space="preserve">Same page background and card style on all three pages; titles in sentence case that state the point, e.g. 'Furniture earns the lowest margin'</w:t>
      </w:r>
    </w:p>
    <w:p>
      <w:pPr>
        <w:pStyle w:val="ListParagraph"/>
        <w:numPr>
          <w:ilvl w:val="0"/>
          <w:numId w:val="3"/>
        </w:numPr>
        <w:spacing w:after="50" w:line="264"/>
      </w:pPr>
      <w:r>
        <w:rPr>
          <w:rFonts w:ascii="Calibri" w:cs="Calibri" w:eastAsia="Calibri" w:hAnsi="Calibri"/>
          <w:sz w:val="21"/>
          <w:szCs w:val="21"/>
        </w:rPr>
        <w:t xml:space="preserve">Turn on data labels, sort bars descending, remove gridlines and redundant axis titles</w:t>
      </w:r>
    </w:p>
    <w:p>
      <w:pPr>
        <w:pStyle w:val="ListParagraph"/>
        <w:numPr>
          <w:ilvl w:val="0"/>
          <w:numId w:val="3"/>
        </w:numPr>
        <w:spacing w:after="50" w:line="264"/>
      </w:pPr>
      <w:r>
        <w:rPr>
          <w:rFonts w:ascii="Calibri" w:cs="Calibri" w:eastAsia="Calibri" w:hAnsi="Calibri"/>
          <w:sz w:val="21"/>
          <w:szCs w:val="21"/>
        </w:rPr>
        <w:t xml:space="preserve">Use Edit interactions so cards do not filter each other unexpectedly</w:t>
      </w:r>
    </w:p>
    <w:p>
      <w:pPr>
        <w:pStyle w:val="ListParagraph"/>
        <w:numPr>
          <w:ilvl w:val="0"/>
          <w:numId w:val="3"/>
        </w:numPr>
        <w:spacing w:after="50" w:line="264"/>
      </w:pPr>
      <w:r>
        <w:rPr>
          <w:rFonts w:ascii="Calibri" w:cs="Calibri" w:eastAsia="Calibri" w:hAnsi="Calibri"/>
          <w:sz w:val="21"/>
          <w:szCs w:val="21"/>
        </w:rPr>
        <w:t xml:space="preserve">Add tooltips pages showing orders, units and margin; add a Reset-filters bookmark button</w:t>
      </w:r>
    </w:p>
    <w:p>
      <w:pPr>
        <w:pStyle w:val="ListParagraph"/>
        <w:numPr>
          <w:ilvl w:val="0"/>
          <w:numId w:val="3"/>
        </w:numPr>
        <w:spacing w:after="50" w:line="264"/>
      </w:pPr>
      <w:r>
        <w:rPr>
          <w:rFonts w:ascii="Calibri" w:cs="Calibri" w:eastAsia="Calibri" w:hAnsi="Calibri"/>
          <w:sz w:val="21"/>
          <w:szCs w:val="21"/>
        </w:rPr>
        <w:t xml:space="preserve">Test every slicer combination and compare the KPI cards with SQL Q02</w:t>
      </w:r>
    </w:p>
    <w:p>
      <w:pPr>
        <w:pStyle w:val="Heading1"/>
        <w:spacing w:after="140" w:before="320"/>
      </w:pPr>
      <w:r>
        <w:rPr>
          <w:rFonts w:ascii="Calibri" w:cs="Calibri" w:eastAsia="Calibri" w:hAnsi="Calibri"/>
          <w:b/>
          <w:bCs/>
          <w:color w:val="1F3A5F"/>
          <w:sz w:val="32"/>
          <w:szCs w:val="32"/>
        </w:rPr>
        <w:t xml:space="preserve">5. Reconciliation Check</w:t>
      </w:r>
    </w:p>
    <w:p>
      <w:pPr>
        <w:spacing w:after="100" w:line="276"/>
      </w:pPr>
      <w:r>
        <w:rPr>
          <w:rFonts w:ascii="Calibri" w:cs="Calibri" w:eastAsia="Calibri" w:hAnsi="Calibri"/>
          <w:sz w:val="21"/>
          <w:szCs w:val="21"/>
        </w:rPr>
        <w:t xml:space="preserve">Before presenting, confirm the three tools agree. On the bundled data they must match exactly:</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2946"/>
        <w:gridCol w:w="2266"/>
        <w:gridCol w:w="2266"/>
        <w:gridCol w:w="2268"/>
      </w:tblGrid>
      <w:tr>
        <w:trPr>
          <w:cantSplit/>
          <w:tblHeader/>
        </w:trPr>
        <w:tc>
          <w:tcPr>
            <w:tcW w:type="dxa" w:w="2946"/>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8"/>
                <w:szCs w:val="18"/>
              </w:rPr>
              <w:t xml:space="preserve">Measure</w:t>
            </w:r>
          </w:p>
        </w:tc>
        <w:tc>
          <w:tcPr>
            <w:tcW w:type="dxa" w:w="2266"/>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8"/>
                <w:szCs w:val="18"/>
              </w:rPr>
              <w:t xml:space="preserve">Python summary</w:t>
            </w:r>
          </w:p>
        </w:tc>
        <w:tc>
          <w:tcPr>
            <w:tcW w:type="dxa" w:w="2266"/>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8"/>
                <w:szCs w:val="18"/>
              </w:rPr>
              <w:t xml:space="preserve">SQL Q02</w:t>
            </w:r>
          </w:p>
        </w:tc>
        <w:tc>
          <w:tcPr>
            <w:tcW w:type="dxa" w:w="2268"/>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right"/>
            </w:pPr>
            <w:r>
              <w:rPr>
                <w:rFonts w:ascii="Calibri" w:cs="Calibri" w:eastAsia="Calibri" w:hAnsi="Calibri"/>
                <w:b/>
                <w:bCs/>
                <w:color w:val="FFFFFF"/>
                <w:sz w:val="18"/>
                <w:szCs w:val="18"/>
              </w:rPr>
              <w:t xml:space="preserve">Power BI card (expected)</w:t>
            </w:r>
          </w:p>
        </w:tc>
      </w:tr>
      <w:tr>
        <w:trPr>
          <w:cantSplit/>
        </w:trPr>
        <w:tc>
          <w:tcPr>
            <w:tcW w:type="dxa" w:w="294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Total orders</w:t>
            </w:r>
          </w:p>
        </w:tc>
        <w:tc>
          <w:tcPr>
            <w:tcW w:type="dxa" w:w="226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8"/>
                <w:szCs w:val="18"/>
              </w:rPr>
              <w:t xml:space="preserve">9,994</w:t>
            </w:r>
          </w:p>
        </w:tc>
        <w:tc>
          <w:tcPr>
            <w:tcW w:type="dxa" w:w="226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8"/>
                <w:szCs w:val="18"/>
              </w:rPr>
              <w:t xml:space="preserve">9,994</w:t>
            </w:r>
          </w:p>
        </w:tc>
        <w:tc>
          <w:tcPr>
            <w:tcW w:type="dxa" w:w="226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8"/>
                <w:szCs w:val="18"/>
              </w:rPr>
              <w:t xml:space="preserve">9,994</w:t>
            </w:r>
          </w:p>
        </w:tc>
      </w:tr>
      <w:tr>
        <w:trPr>
          <w:cantSplit/>
        </w:trPr>
        <w:tc>
          <w:tcPr>
            <w:tcW w:type="dxa" w:w="294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Revenue pre-discount</w:t>
            </w:r>
          </w:p>
        </w:tc>
        <w:tc>
          <w:tcPr>
            <w:tcW w:type="dxa" w:w="226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8"/>
                <w:szCs w:val="18"/>
              </w:rPr>
              <w:t xml:space="preserve">3,184,594</w:t>
            </w:r>
          </w:p>
        </w:tc>
        <w:tc>
          <w:tcPr>
            <w:tcW w:type="dxa" w:w="226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8"/>
                <w:szCs w:val="18"/>
              </w:rPr>
              <w:t xml:space="preserve">3,184,594.00</w:t>
            </w:r>
          </w:p>
        </w:tc>
        <w:tc>
          <w:tcPr>
            <w:tcW w:type="dxa" w:w="226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8"/>
                <w:szCs w:val="18"/>
              </w:rPr>
              <w:t xml:space="preserve">$3,184,594</w:t>
            </w:r>
          </w:p>
        </w:tc>
      </w:tr>
      <w:tr>
        <w:trPr>
          <w:cantSplit/>
        </w:trPr>
        <w:tc>
          <w:tcPr>
            <w:tcW w:type="dxa" w:w="294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Revenue post-discount</w:t>
            </w:r>
          </w:p>
        </w:tc>
        <w:tc>
          <w:tcPr>
            <w:tcW w:type="dxa" w:w="226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8"/>
                <w:szCs w:val="18"/>
              </w:rPr>
              <w:t xml:space="preserve">3,061,720</w:t>
            </w:r>
          </w:p>
        </w:tc>
        <w:tc>
          <w:tcPr>
            <w:tcW w:type="dxa" w:w="226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8"/>
                <w:szCs w:val="18"/>
              </w:rPr>
              <w:t xml:space="preserve">3,061,719.52</w:t>
            </w:r>
          </w:p>
        </w:tc>
        <w:tc>
          <w:tcPr>
            <w:tcW w:type="dxa" w:w="226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8"/>
                <w:szCs w:val="18"/>
              </w:rPr>
              <w:t xml:space="preserve">$3,061,720</w:t>
            </w:r>
          </w:p>
        </w:tc>
      </w:tr>
      <w:tr>
        <w:trPr>
          <w:cantSplit/>
        </w:trPr>
        <w:tc>
          <w:tcPr>
            <w:tcW w:type="dxa" w:w="294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8"/>
                <w:szCs w:val="18"/>
              </w:rPr>
              <w:t xml:space="preserve">Total profit</w:t>
            </w:r>
          </w:p>
        </w:tc>
        <w:tc>
          <w:tcPr>
            <w:tcW w:type="dxa" w:w="226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8"/>
                <w:szCs w:val="18"/>
              </w:rPr>
              <w:t xml:space="preserve">867,219</w:t>
            </w:r>
          </w:p>
        </w:tc>
        <w:tc>
          <w:tcPr>
            <w:tcW w:type="dxa" w:w="226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8"/>
                <w:szCs w:val="18"/>
              </w:rPr>
              <w:t xml:space="preserve">867,218.52</w:t>
            </w:r>
          </w:p>
        </w:tc>
        <w:tc>
          <w:tcPr>
            <w:tcW w:type="dxa" w:w="226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right"/>
            </w:pPr>
            <w:r>
              <w:rPr>
                <w:rFonts w:ascii="Calibri" w:cs="Calibri" w:eastAsia="Calibri" w:hAnsi="Calibri"/>
                <w:sz w:val="18"/>
                <w:szCs w:val="18"/>
              </w:rPr>
              <w:t xml:space="preserve">$867,219</w:t>
            </w:r>
          </w:p>
        </w:tc>
      </w:tr>
      <w:tr>
        <w:trPr>
          <w:cantSplit/>
        </w:trPr>
        <w:tc>
          <w:tcPr>
            <w:tcW w:type="dxa" w:w="294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8"/>
                <w:szCs w:val="18"/>
              </w:rPr>
              <w:t xml:space="preserve">Discount rate / margin</w:t>
            </w:r>
          </w:p>
        </w:tc>
        <w:tc>
          <w:tcPr>
            <w:tcW w:type="dxa" w:w="226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8"/>
                <w:szCs w:val="18"/>
              </w:rPr>
              <w:t xml:space="preserve">-</w:t>
            </w:r>
          </w:p>
        </w:tc>
        <w:tc>
          <w:tcPr>
            <w:tcW w:type="dxa" w:w="226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8"/>
                <w:szCs w:val="18"/>
              </w:rPr>
              <w:t xml:space="preserve">3.86% / 28.32%</w:t>
            </w:r>
          </w:p>
        </w:tc>
        <w:tc>
          <w:tcPr>
            <w:tcW w:type="dxa" w:w="226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right"/>
            </w:pPr>
            <w:r>
              <w:rPr>
                <w:rFonts w:ascii="Calibri" w:cs="Calibri" w:eastAsia="Calibri" w:hAnsi="Calibri"/>
                <w:sz w:val="18"/>
                <w:szCs w:val="18"/>
              </w:rPr>
              <w:t xml:space="preserve">3.9% / 28.3%</w:t>
            </w:r>
          </w:p>
        </w:tc>
      </w:tr>
    </w:tbl>
    <w:p>
      <w:pPr>
        <w:pStyle w:val="Heading1"/>
        <w:spacing w:after="140" w:before="320"/>
      </w:pPr>
      <w:r>
        <w:rPr>
          <w:rFonts w:ascii="Calibri" w:cs="Calibri" w:eastAsia="Calibri" w:hAnsi="Calibri"/>
          <w:b/>
          <w:bCs/>
          <w:color w:val="1F3A5F"/>
          <w:sz w:val="32"/>
          <w:szCs w:val="32"/>
        </w:rPr>
        <w:t xml:space="preserve">6. Findings and Pricing Recommendations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9746"/>
      </w:tblGrid>
      <w:tr>
        <w:tc>
          <w:tcPr>
            <w:tcW w:type="dxa" w:w="9746"/>
            <w:tcBorders>
              <w:top w:val="single" w:color="EAF6F4" w:sz="4"/>
              <w:left w:val="single" w:color="2A9D8F" w:sz="24"/>
              <w:bottom w:val="single" w:color="EAF6F4" w:sz="4"/>
              <w:right w:val="single" w:color="EAF6F4" w:sz="4"/>
            </w:tcBorders>
            <w:shd w:fill="EAF6F4" w:color="auto" w:val="clear"/>
            <w:tcMar>
              <w:top w:type="dxa" w:w="100"/>
              <w:left w:type="dxa" w:w="160"/>
              <w:bottom w:type="dxa" w:w="100"/>
              <w:right w:type="dxa" w:w="160"/>
            </w:tcMar>
          </w:tcPr>
          <w:p>
            <w:pPr>
              <w:spacing w:after="40"/>
            </w:pPr>
            <w:r>
              <w:rPr>
                <w:rFonts w:ascii="Calibri" w:cs="Calibri" w:eastAsia="Calibri" w:hAnsi="Calibri"/>
                <w:b/>
                <w:bCs/>
                <w:color w:val="2A9D8F"/>
                <w:sz w:val="21"/>
                <w:szCs w:val="21"/>
              </w:rPr>
              <w:t xml:space="preserve">Caveat</w:t>
            </w:r>
          </w:p>
          <w:p>
            <w:pPr>
              <w:spacing w:after="40" w:line="264"/>
            </w:pPr>
            <w:r>
              <w:rPr>
                <w:rFonts w:ascii="Calibri" w:cs="Calibri" w:eastAsia="Calibri" w:hAnsi="Calibri"/>
                <w:sz w:val="21"/>
                <w:szCs w:val="21"/>
              </w:rPr>
              <w:t xml:space="preserve">These findings were computed on the </w:t>
            </w:r>
            <w:r>
              <w:rPr>
                <w:rFonts w:ascii="Calibri" w:cs="Calibri" w:eastAsia="Calibri" w:hAnsi="Calibri"/>
                <w:b/>
                <w:bCs/>
                <w:sz w:val="21"/>
                <w:szCs w:val="21"/>
              </w:rPr>
              <w:t xml:space="preserve">synthetic</w:t>
            </w:r>
            <w:r>
              <w:rPr>
                <w:rFonts w:ascii="Calibri" w:cs="Calibri" w:eastAsia="Calibri" w:hAnsi="Calibri"/>
                <w:sz w:val="21"/>
                <w:szCs w:val="21"/>
              </w:rPr>
              <w:t xml:space="preserve"> bundled dataset to demonstrate the method. Re-run the pipeline on the original Kaggle file and replace every number before you present them as real conclusions.</w:t>
            </w:r>
          </w:p>
        </w:tc>
      </w:tr>
    </w:tbl>
    <w:p>
      <w:pPr>
        <w:pStyle w:val="Heading2"/>
        <w:spacing w:after="100" w:before="240"/>
      </w:pPr>
      <w:r>
        <w:rPr>
          <w:rFonts w:ascii="Calibri" w:cs="Calibri" w:eastAsia="Calibri" w:hAnsi="Calibri"/>
          <w:b/>
          <w:bCs/>
          <w:color w:val="2A9D8F"/>
          <w:sz w:val="26"/>
          <w:szCs w:val="26"/>
        </w:rPr>
        <w:t xml:space="preserve">6.1 What the data shows</w:t>
      </w:r>
    </w:p>
    <w:p>
      <w:pPr>
        <w:pStyle w:val="ListParagraph"/>
        <w:numPr>
          <w:ilvl w:val="0"/>
          <w:numId w:val="3"/>
        </w:numPr>
        <w:spacing w:after="50" w:line="264"/>
      </w:pPr>
      <w:r>
        <w:rPr>
          <w:rFonts w:ascii="Calibri" w:cs="Calibri" w:eastAsia="Calibri" w:hAnsi="Calibri"/>
          <w:b/>
          <w:bCs/>
          <w:sz w:val="21"/>
          <w:szCs w:val="21"/>
        </w:rPr>
        <w:t xml:space="preserve">Scale and growth:</w:t>
      </w:r>
      <w:r>
        <w:rPr>
          <w:rFonts w:ascii="Calibri" w:cs="Calibri" w:eastAsia="Calibri" w:hAnsi="Calibri"/>
          <w:sz w:val="21"/>
          <w:szCs w:val="21"/>
        </w:rPr>
        <w:t xml:space="preserve"> 9,994 order lines, 31,675 units; post-discount revenue 3.06M on 3.18M pre-discount (122.9K discount, 3.86% discount rate); gross margin 28.3%. 2023 revenue is 24.8% above 2022 (1.70M vs 1.36M) on 18.7% more orders.</w:t>
      </w:r>
    </w:p>
    <w:p>
      <w:pPr>
        <w:pStyle w:val="ListParagraph"/>
        <w:numPr>
          <w:ilvl w:val="0"/>
          <w:numId w:val="3"/>
        </w:numPr>
        <w:spacing w:after="50" w:line="264"/>
      </w:pPr>
      <w:r>
        <w:rPr>
          <w:rFonts w:ascii="Calibri" w:cs="Calibri" w:eastAsia="Calibri" w:hAnsi="Calibri"/>
          <w:b/>
          <w:bCs/>
          <w:sz w:val="21"/>
          <w:szCs w:val="21"/>
        </w:rPr>
        <w:t xml:space="preserve">Seasonality:</w:t>
      </w:r>
      <w:r>
        <w:rPr>
          <w:rFonts w:ascii="Calibri" w:cs="Calibri" w:eastAsia="Calibri" w:hAnsi="Calibri"/>
          <w:sz w:val="21"/>
          <w:szCs w:val="21"/>
        </w:rPr>
        <w:t xml:space="preserve"> September, November and December together produce about 37.5% of revenue (December alone 14.6%); January and February are the weakest months (4.7% and 4.0%).</w:t>
      </w:r>
    </w:p>
    <w:p>
      <w:pPr>
        <w:pStyle w:val="ListParagraph"/>
        <w:numPr>
          <w:ilvl w:val="0"/>
          <w:numId w:val="3"/>
        </w:numPr>
        <w:spacing w:after="50" w:line="264"/>
      </w:pPr>
      <w:r>
        <w:rPr>
          <w:rFonts w:ascii="Calibri" w:cs="Calibri" w:eastAsia="Calibri" w:hAnsi="Calibri"/>
          <w:b/>
          <w:bCs/>
          <w:sz w:val="21"/>
          <w:szCs w:val="21"/>
        </w:rPr>
        <w:t xml:space="preserve">Regions and cities:</w:t>
      </w:r>
      <w:r>
        <w:rPr>
          <w:rFonts w:ascii="Calibri" w:cs="Calibri" w:eastAsia="Calibri" w:hAnsi="Calibri"/>
          <w:sz w:val="21"/>
          <w:szCs w:val="21"/>
        </w:rPr>
        <w:t xml:space="preserve"> West is the largest region (29.1% of revenue), South the smallest (17.4%). New York City is the top city (245K, 8.0% of revenue) and the top five cities generate 28.7% of revenue. Central has the highest discount rate (4.18%) and 9.9% of its lines are discounted by more than 5%, versus 4.9-5.9% elsewhere.</w:t>
      </w:r>
    </w:p>
    <w:p>
      <w:pPr>
        <w:pStyle w:val="ListParagraph"/>
        <w:numPr>
          <w:ilvl w:val="0"/>
          <w:numId w:val="3"/>
        </w:numPr>
        <w:spacing w:after="50" w:line="264"/>
      </w:pPr>
      <w:r>
        <w:rPr>
          <w:rFonts w:ascii="Calibri" w:cs="Calibri" w:eastAsia="Calibri" w:hAnsi="Calibri"/>
          <w:b/>
          <w:bCs/>
          <w:sz w:val="21"/>
          <w:szCs w:val="21"/>
        </w:rPr>
        <w:t xml:space="preserve">Ship modes:</w:t>
      </w:r>
      <w:r>
        <w:rPr>
          <w:rFonts w:ascii="Calibri" w:cs="Calibri" w:eastAsia="Calibri" w:hAnsi="Calibri"/>
          <w:sz w:val="21"/>
          <w:szCs w:val="21"/>
        </w:rPr>
        <w:t xml:space="preserve"> Standard Class takes 57.6% of orders, Second Class 19.6%, First Class 16.1%, Same Day 5.8%. Average order value is similar for all modes (about 298-312), so ship mode is not driving basket size. 96 orders (1.0%) have no valid ship mode.</w:t>
      </w:r>
    </w:p>
    <w:p>
      <w:pPr>
        <w:pStyle w:val="ListParagraph"/>
        <w:numPr>
          <w:ilvl w:val="0"/>
          <w:numId w:val="3"/>
        </w:numPr>
        <w:spacing w:after="50" w:line="264"/>
      </w:pPr>
      <w:r>
        <w:rPr>
          <w:rFonts w:ascii="Calibri" w:cs="Calibri" w:eastAsia="Calibri" w:hAnsi="Calibri"/>
          <w:b/>
          <w:bCs/>
          <w:sz w:val="21"/>
          <w:szCs w:val="21"/>
        </w:rPr>
        <w:t xml:space="preserve">Category margins:</w:t>
      </w:r>
      <w:r>
        <w:rPr>
          <w:rFonts w:ascii="Calibri" w:cs="Calibri" w:eastAsia="Calibri" w:hAnsi="Calibri"/>
          <w:sz w:val="21"/>
          <w:szCs w:val="21"/>
        </w:rPr>
        <w:t xml:space="preserve"> Furniture has the lowest margin (23.9%) and the highest discount rate (4.19%); Office Supplies has the best margin (31.9%); Technology has the most revenue (1.16M). Within Furniture, Tables run at 13.7% margin and Bookcases 18.0%; Machines (Technology) run at 16.4%.</w:t>
      </w:r>
    </w:p>
    <w:p>
      <w:pPr>
        <w:pStyle w:val="ListParagraph"/>
        <w:numPr>
          <w:ilvl w:val="0"/>
          <w:numId w:val="3"/>
        </w:numPr>
        <w:spacing w:after="50" w:line="264"/>
      </w:pPr>
      <w:r>
        <w:rPr>
          <w:rFonts w:ascii="Calibri" w:cs="Calibri" w:eastAsia="Calibri" w:hAnsi="Calibri"/>
          <w:b/>
          <w:bCs/>
          <w:sz w:val="21"/>
          <w:szCs w:val="21"/>
        </w:rPr>
        <w:t xml:space="preserve">Discount effectiveness:</w:t>
      </w:r>
      <w:r>
        <w:rPr>
          <w:rFonts w:ascii="Calibri" w:cs="Calibri" w:eastAsia="Calibri" w:hAnsi="Calibri"/>
          <w:sz w:val="21"/>
          <w:szCs w:val="21"/>
        </w:rPr>
        <w:t xml:space="preserve"> average units per order line stay flat at about 3.0-3.2 whatever the discount (2% to 20%), while margin falls from 29.4% at 2% to 11.3% at 20%. Lines discounted by more than 5% (678 lines) earn an 18.1% margin versus 28.3% overall. In this data, deeper discounts reduce margin without lifting volume.</w:t>
      </w:r>
    </w:p>
    <w:p>
      <w:pPr>
        <w:pStyle w:val="ListParagraph"/>
        <w:numPr>
          <w:ilvl w:val="0"/>
          <w:numId w:val="3"/>
        </w:numPr>
        <w:spacing w:after="50" w:line="264"/>
      </w:pPr>
      <w:r>
        <w:rPr>
          <w:rFonts w:ascii="Calibri" w:cs="Calibri" w:eastAsia="Calibri" w:hAnsi="Calibri"/>
          <w:b/>
          <w:bCs/>
          <w:sz w:val="21"/>
          <w:szCs w:val="21"/>
        </w:rPr>
        <w:t xml:space="preserve">Loss-makers:</w:t>
      </w:r>
      <w:r>
        <w:rPr>
          <w:rFonts w:ascii="Calibri" w:cs="Calibri" w:eastAsia="Calibri" w:hAnsi="Calibri"/>
          <w:sz w:val="21"/>
          <w:szCs w:val="21"/>
        </w:rPr>
        <w:t xml:space="preserve"> only four products lose money overall; three are Tables sold at 10-20% discount.</w:t>
      </w:r>
    </w:p>
    <w:p>
      <w:pPr>
        <w:pStyle w:val="Heading2"/>
        <w:spacing w:after="100" w:before="240"/>
      </w:pPr>
      <w:r>
        <w:rPr>
          <w:rFonts w:ascii="Calibri" w:cs="Calibri" w:eastAsia="Calibri" w:hAnsi="Calibri"/>
          <w:b/>
          <w:bCs/>
          <w:color w:val="2A9D8F"/>
          <w:sz w:val="26"/>
          <w:szCs w:val="26"/>
        </w:rPr>
        <w:t xml:space="preserve">6.2 Recommendations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10"/>
        <w:gridCol w:w="3488"/>
        <w:gridCol w:w="3282"/>
        <w:gridCol w:w="2566"/>
      </w:tblGrid>
      <w:tr>
        <w:trPr>
          <w:cantSplit/>
          <w:tblHeader/>
        </w:trPr>
        <w:tc>
          <w:tcPr>
            <w:tcW w:type="dxa" w:w="410"/>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w:t>
            </w:r>
          </w:p>
        </w:tc>
        <w:tc>
          <w:tcPr>
            <w:tcW w:type="dxa" w:w="3488"/>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Recommendation</w:t>
            </w:r>
          </w:p>
        </w:tc>
        <w:tc>
          <w:tcPr>
            <w:tcW w:type="dxa" w:w="3282"/>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Evidence</w:t>
            </w:r>
          </w:p>
        </w:tc>
        <w:tc>
          <w:tcPr>
            <w:tcW w:type="dxa" w:w="2566"/>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Expected effect</w:t>
            </w:r>
          </w:p>
        </w:tc>
      </w:tr>
      <w:tr>
        <w:trPr>
          <w:cantSplit/>
        </w:trPr>
        <w:tc>
          <w:tcPr>
            <w:tcW w:type="dxa" w:w="41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1</w:t>
            </w:r>
          </w:p>
        </w:tc>
        <w:tc>
          <w:tcPr>
            <w:tcW w:type="dxa" w:w="348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Cap standard discounts at 5% for all sub-categories; require manager approval above 5%</w:t>
            </w:r>
          </w:p>
        </w:tc>
        <w:tc>
          <w:tcPr>
            <w:tcW w:type="dxa" w:w="328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Units per line do not rise with discount; 678 lines above 5% earn 18.1% margin</w:t>
            </w:r>
          </w:p>
        </w:tc>
        <w:tc>
          <w:tcPr>
            <w:tcW w:type="dxa" w:w="256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If volume holds, about +16.2K profit (+1.9% of total profit)</w:t>
            </w:r>
          </w:p>
        </w:tc>
      </w:tr>
      <w:tr>
        <w:trPr>
          <w:cantSplit/>
        </w:trPr>
        <w:tc>
          <w:tcPr>
            <w:tcW w:type="dxa" w:w="41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2</w:t>
            </w:r>
          </w:p>
        </w:tc>
        <w:tc>
          <w:tcPr>
            <w:tcW w:type="dxa" w:w="348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Start with Tables, Bookcases, Machines and Binders: review list price and set a hard 5% ceiling</w:t>
            </w:r>
          </w:p>
        </w:tc>
        <w:tc>
          <w:tcPr>
            <w:tcW w:type="dxa" w:w="328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10.7-13.6% of their lines are deeply discounted; margins 13.7%, 18.0%, 16.4%, 25.2%</w:t>
            </w:r>
          </w:p>
        </w:tc>
        <w:tc>
          <w:tcPr>
            <w:tcW w:type="dxa" w:w="256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Lifts the weakest sub-category margins first</w:t>
            </w:r>
          </w:p>
        </w:tc>
      </w:tr>
      <w:tr>
        <w:trPr>
          <w:cantSplit/>
        </w:trPr>
        <w:tc>
          <w:tcPr>
            <w:tcW w:type="dxa" w:w="41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3</w:t>
            </w:r>
          </w:p>
        </w:tc>
        <w:tc>
          <w:tcPr>
            <w:tcW w:type="dxa" w:w="348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Reprice or delist the three loss-making Tables SKUs</w:t>
            </w:r>
          </w:p>
        </w:tc>
        <w:tc>
          <w:tcPr>
            <w:tcW w:type="dxa" w:w="328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Negative profit at 10-20% discount</w:t>
            </w:r>
          </w:p>
        </w:tc>
        <w:tc>
          <w:tcPr>
            <w:tcW w:type="dxa" w:w="256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Removes direct losses</w:t>
            </w:r>
          </w:p>
        </w:tc>
      </w:tr>
      <w:tr>
        <w:trPr>
          <w:cantSplit/>
        </w:trPr>
        <w:tc>
          <w:tcPr>
            <w:tcW w:type="dxa" w:w="41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4</w:t>
            </w:r>
          </w:p>
        </w:tc>
        <w:tc>
          <w:tcPr>
            <w:tcW w:type="dxa" w:w="348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Tighten discount governance in the Central region</w:t>
            </w:r>
          </w:p>
        </w:tc>
        <w:tc>
          <w:tcPr>
            <w:tcW w:type="dxa" w:w="328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9.9% of lines above 5% discount vs 4.9-5.9% elsewhere</w:t>
            </w:r>
          </w:p>
        </w:tc>
        <w:tc>
          <w:tcPr>
            <w:tcW w:type="dxa" w:w="256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Brings Central in line with other regions</w:t>
            </w:r>
          </w:p>
        </w:tc>
      </w:tr>
      <w:tr>
        <w:trPr>
          <w:cantSplit/>
        </w:trPr>
        <w:tc>
          <w:tcPr>
            <w:tcW w:type="dxa" w:w="41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5</w:t>
            </w:r>
          </w:p>
        </w:tc>
        <w:tc>
          <w:tcPr>
            <w:tcW w:type="dxa" w:w="3488"/>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Move promotions to January-February and avoid blanket discounts in Sep, Nov, Dec when demand is already high</w:t>
            </w:r>
          </w:p>
        </w:tc>
        <w:tc>
          <w:tcPr>
            <w:tcW w:type="dxa" w:w="3282"/>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Jan-Feb are 8.7% of revenue; Sep + Nov + Dec are 37.5%</w:t>
            </w:r>
          </w:p>
        </w:tc>
        <w:tc>
          <w:tcPr>
            <w:tcW w:type="dxa" w:w="256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Smooths demand without giving margin away at peak</w:t>
            </w:r>
          </w:p>
        </w:tc>
      </w:tr>
      <w:tr>
        <w:trPr>
          <w:cantSplit/>
        </w:trPr>
        <w:tc>
          <w:tcPr>
            <w:tcW w:type="dxa" w:w="41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6</w:t>
            </w:r>
          </w:p>
        </w:tc>
        <w:tc>
          <w:tcPr>
            <w:tcW w:type="dxa" w:w="3488"/>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Make ship mode mandatory at order entry</w:t>
            </w:r>
          </w:p>
        </w:tc>
        <w:tc>
          <w:tcPr>
            <w:tcW w:type="dxa" w:w="3282"/>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1.0% of orders have no valid ship mode</w:t>
            </w:r>
          </w:p>
        </w:tc>
        <w:tc>
          <w:tcPr>
            <w:tcW w:type="dxa" w:w="256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Complete logistics reporting</w:t>
            </w:r>
          </w:p>
        </w:tc>
      </w:tr>
    </w:tbl>
    <w:p>
      <w:pPr>
        <w:spacing w:after="80"/>
      </w:pPr>
      <w:r>
        <w:rPr>
          <w:rFonts w:ascii="Calibri" w:cs="Calibri" w:eastAsia="Calibri" w:hAnsi="Calibri"/>
          <w:i/>
          <w:iCs/>
          <w:color w:val="52606D"/>
          <w:sz w:val="18"/>
          <w:szCs w:val="18"/>
        </w:rPr>
        <w:t xml:space="preserve">Estimate for recommendation 1: sum over lines with discount above 5% of (discount% - 5) / 100 x list price x quantity. It assumes demand does not fall when the discount is capped, which you should test with a pilot before rolling out.</w:t>
      </w:r>
    </w:p>
    <w:p>
      <w:pPr>
        <w:pStyle w:val="Heading1"/>
        <w:spacing w:after="140" w:before="320"/>
      </w:pPr>
      <w:r>
        <w:rPr>
          <w:rFonts w:ascii="Calibri" w:cs="Calibri" w:eastAsia="Calibri" w:hAnsi="Calibri"/>
          <w:b/>
          <w:bCs/>
          <w:color w:val="1F3A5F"/>
          <w:sz w:val="32"/>
          <w:szCs w:val="32"/>
        </w:rPr>
        <w:t xml:space="preserve">7. Resume Bullets and Interview Preparation</w:t>
      </w:r>
    </w:p>
    <w:p>
      <w:pPr>
        <w:pStyle w:val="Heading2"/>
        <w:spacing w:after="100" w:before="240"/>
      </w:pPr>
      <w:r>
        <w:rPr>
          <w:rFonts w:ascii="Calibri" w:cs="Calibri" w:eastAsia="Calibri" w:hAnsi="Calibri"/>
          <w:b/>
          <w:bCs/>
          <w:color w:val="2A9D8F"/>
          <w:sz w:val="26"/>
          <w:szCs w:val="26"/>
        </w:rPr>
        <w:t xml:space="preserve">7.1 Resume wording</w:t>
      </w:r>
    </w:p>
    <w:p>
      <w:pPr>
        <w:spacing w:after="100" w:line="276"/>
      </w:pPr>
      <w:r>
        <w:rPr>
          <w:rFonts w:ascii="Calibri" w:cs="Calibri" w:eastAsia="Calibri" w:hAnsi="Calibri"/>
          <w:b/>
          <w:bCs/>
          <w:sz w:val="21"/>
          <w:szCs w:val="21"/>
        </w:rPr>
        <w:t xml:space="preserve">Retail Orders &amp; Global Mart Sales Analytics</w:t>
      </w:r>
      <w:r>
        <w:rPr>
          <w:rFonts w:ascii="Calibri" w:cs="Calibri" w:eastAsia="Calibri" w:hAnsi="Calibri"/>
          <w:sz w:val="21"/>
          <w:szCs w:val="21"/>
        </w:rPr>
        <w:t xml:space="preserve"> | Python (Pandas, Kaggle API), SQL, Power BI</w:t>
      </w:r>
    </w:p>
    <w:p>
      <w:pPr>
        <w:pStyle w:val="ListParagraph"/>
        <w:numPr>
          <w:ilvl w:val="0"/>
          <w:numId w:val="3"/>
        </w:numPr>
        <w:spacing w:after="50" w:line="264"/>
      </w:pPr>
      <w:r>
        <w:rPr>
          <w:rFonts w:ascii="Calibri" w:cs="Calibri" w:eastAsia="Calibri" w:hAnsi="Calibri"/>
          <w:sz w:val="21"/>
          <w:szCs w:val="21"/>
        </w:rPr>
        <w:t xml:space="preserve">Built an automated pipeline that pulls retail order data through the Kaggle API, cleans categorical and numeric fields, engineers revenue, discount and profit features and loads about 10K order lines into a relational SQL database</w:t>
      </w:r>
    </w:p>
    <w:p>
      <w:pPr>
        <w:pStyle w:val="ListParagraph"/>
        <w:numPr>
          <w:ilvl w:val="0"/>
          <w:numId w:val="3"/>
        </w:numPr>
        <w:spacing w:after="50" w:line="264"/>
      </w:pPr>
      <w:r>
        <w:rPr>
          <w:rFonts w:ascii="Calibri" w:cs="Calibri" w:eastAsia="Calibri" w:hAnsi="Calibri"/>
          <w:sz w:val="21"/>
          <w:szCs w:val="21"/>
        </w:rPr>
        <w:t xml:space="preserve">Wrote window-function SQL to measure order volume, pre- and post-discount revenue, top products per region and regional sales, reconciling totals to the cent across Python, SQL and Power BI</w:t>
      </w:r>
    </w:p>
    <w:p>
      <w:pPr>
        <w:pStyle w:val="ListParagraph"/>
        <w:numPr>
          <w:ilvl w:val="0"/>
          <w:numId w:val="3"/>
        </w:numPr>
        <w:spacing w:after="50" w:line="264"/>
      </w:pPr>
      <w:r>
        <w:rPr>
          <w:rFonts w:ascii="Calibri" w:cs="Calibri" w:eastAsia="Calibri" w:hAnsi="Calibri"/>
          <w:sz w:val="21"/>
          <w:szCs w:val="21"/>
        </w:rPr>
        <w:t xml:space="preserve">Designed a three-page Power BI dashboard (ship modes, city revenue ranking, category discount rates, product profitability) and recommended a 5% discount cap that is estimated to add about 1.9% to profit</w:t>
      </w:r>
    </w:p>
    <w:p>
      <w:pPr>
        <w:spacing w:after="80"/>
      </w:pPr>
      <w:r>
        <w:rPr>
          <w:rFonts w:ascii="Calibri" w:cs="Calibri" w:eastAsia="Calibri" w:hAnsi="Calibri"/>
          <w:i/>
          <w:iCs/>
          <w:color w:val="52606D"/>
          <w:sz w:val="18"/>
          <w:szCs w:val="18"/>
        </w:rPr>
        <w:t xml:space="preserve">Only use the quantified claims if you re-run on the real data and the numbers still hold.</w:t>
      </w:r>
    </w:p>
    <w:p>
      <w:pPr>
        <w:pStyle w:val="Heading2"/>
        <w:spacing w:after="100" w:before="240"/>
      </w:pPr>
      <w:r>
        <w:rPr>
          <w:rFonts w:ascii="Calibri" w:cs="Calibri" w:eastAsia="Calibri" w:hAnsi="Calibri"/>
          <w:b/>
          <w:bCs/>
          <w:color w:val="2A9D8F"/>
          <w:sz w:val="26"/>
          <w:szCs w:val="26"/>
        </w:rPr>
        <w:t xml:space="preserve">7.2 Likely interview questions</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3045"/>
        <w:gridCol w:w="6701"/>
      </w:tblGrid>
      <w:tr>
        <w:trPr>
          <w:cantSplit/>
          <w:tblHeader/>
        </w:trPr>
        <w:tc>
          <w:tcPr>
            <w:tcW w:type="dxa" w:w="3045"/>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Question</w:t>
            </w:r>
          </w:p>
        </w:tc>
        <w:tc>
          <w:tcPr>
            <w:tcW w:type="dxa" w:w="6701"/>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Strong answer outline</w:t>
            </w:r>
          </w:p>
        </w:tc>
      </w:tr>
      <w:tr>
        <w:trPr>
          <w:cantSplit/>
        </w:trPr>
        <w:tc>
          <w:tcPr>
            <w:tcW w:type="dxa" w:w="304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Walk me through the project.</w:t>
            </w:r>
          </w:p>
        </w:tc>
        <w:tc>
          <w:tcPr>
            <w:tcW w:type="dxa" w:w="6701"/>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Goal (pricing and discount effectiveness) -&gt; ingest and clean -&gt; engineer features -&gt; SQL store -&gt; SQL questions -&gt; dashboard -&gt; recommendation with a number.</w:t>
            </w:r>
          </w:p>
        </w:tc>
      </w:tr>
      <w:tr>
        <w:trPr>
          <w:cantSplit/>
        </w:trPr>
        <w:tc>
          <w:tcPr>
            <w:tcW w:type="dxa" w:w="304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How did you handle the 'Not Available' and 'unknown' ship modes?</w:t>
            </w:r>
          </w:p>
        </w:tc>
        <w:tc>
          <w:tcPr>
            <w:tcW w:type="dxa" w:w="6701"/>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Read them as nulls, then labelled 'Unknown' so the order and its revenue stay in the totals; reported it as about 1% of rows and suggested fixing it at source.</w:t>
            </w:r>
          </w:p>
        </w:tc>
      </w:tr>
      <w:tr>
        <w:trPr>
          <w:cantSplit/>
        </w:trPr>
        <w:tc>
          <w:tcPr>
            <w:tcW w:type="dxa" w:w="304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How do you define revenue and profit?</w:t>
            </w:r>
          </w:p>
        </w:tc>
        <w:tc>
          <w:tcPr>
            <w:tcW w:type="dxa" w:w="6701"/>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Gross revenue = list price x quantity; net revenue = sale price x quantity after discount; profit = (sale price - cost) x quantity. Same formulas in Python, SQL and DAX.</w:t>
            </w:r>
          </w:p>
        </w:tc>
      </w:tr>
      <w:tr>
        <w:trPr>
          <w:cantSplit/>
        </w:trPr>
        <w:tc>
          <w:tcPr>
            <w:tcW w:type="dxa" w:w="304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Why store the data in SQL and not just use the CSV?</w:t>
            </w:r>
          </w:p>
        </w:tc>
        <w:tc>
          <w:tcPr>
            <w:tcW w:type="dxa" w:w="6701"/>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Single governed source, typed columns, repeatable queries, and Power BI can refresh from it.</w:t>
            </w:r>
          </w:p>
        </w:tc>
      </w:tr>
      <w:tr>
        <w:trPr>
          <w:cantSplit/>
        </w:trPr>
        <w:tc>
          <w:tcPr>
            <w:tcW w:type="dxa" w:w="304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Why ROW_NUMBER instead of TOP?</w:t>
            </w:r>
          </w:p>
        </w:tc>
        <w:tc>
          <w:tcPr>
            <w:tcW w:type="dxa" w:w="6701"/>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Needed for top N per group (top 5 per region) and keeps the query portable across databases.</w:t>
            </w:r>
          </w:p>
        </w:tc>
      </w:tr>
      <w:tr>
        <w:trPr>
          <w:cantSplit/>
        </w:trPr>
        <w:tc>
          <w:tcPr>
            <w:tcW w:type="dxa" w:w="304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How do you know discounts do not work?</w:t>
            </w:r>
          </w:p>
        </w:tc>
        <w:tc>
          <w:tcPr>
            <w:tcW w:type="dxa" w:w="6701"/>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Average units per order line are flat across discount levels while margin drops; caveat: no control group, so recommend a pilot.</w:t>
            </w:r>
          </w:p>
        </w:tc>
      </w:tr>
      <w:tr>
        <w:trPr>
          <w:cantSplit/>
        </w:trPr>
        <w:tc>
          <w:tcPr>
            <w:tcW w:type="dxa" w:w="3045"/>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How would you validate the dashboard?</w:t>
            </w:r>
          </w:p>
        </w:tc>
        <w:tc>
          <w:tcPr>
            <w:tcW w:type="dxa" w:w="6701"/>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Reconcile KPI cards with SQL Q02, test slicers, check blank and unknown categories, review with a stakeholder.</w:t>
            </w:r>
          </w:p>
        </w:tc>
      </w:tr>
      <w:tr>
        <w:trPr>
          <w:cantSplit/>
        </w:trPr>
        <w:tc>
          <w:tcPr>
            <w:tcW w:type="dxa" w:w="3045"/>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What would you do next?</w:t>
            </w:r>
          </w:p>
        </w:tc>
        <w:tc>
          <w:tcPr>
            <w:tcW w:type="dxa" w:w="6701"/>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Add cost of shipping, customer ids and returns; run a price-elasticity pilot; schedule refresh.</w:t>
            </w:r>
          </w:p>
        </w:tc>
      </w:tr>
    </w:tbl>
    <w:p>
      <w:pPr>
        <w:pStyle w:val="Heading1"/>
        <w:spacing w:after="140" w:before="320"/>
      </w:pPr>
      <w:r>
        <w:rPr>
          <w:rFonts w:ascii="Calibri" w:cs="Calibri" w:eastAsia="Calibri" w:hAnsi="Calibri"/>
          <w:b/>
          <w:bCs/>
          <w:color w:val="1F3A5F"/>
          <w:sz w:val="32"/>
          <w:szCs w:val="32"/>
        </w:rPr>
        <w:t xml:space="preserve">8. Troubleshooting</w:t>
      </w:r>
    </w:p>
    <w:tbl>
      <w:tblPr>
        <w:tblW w:type="dxa" w:w="9746"/>
        <w:tblBorders>
          <w:top w:val="single" w:color="auto" w:sz="4"/>
          <w:left w:val="single" w:color="auto" w:sz="4"/>
          <w:bottom w:val="single" w:color="auto" w:sz="4"/>
          <w:right w:val="single" w:color="auto" w:sz="4"/>
          <w:insideH w:val="single" w:color="auto" w:sz="4"/>
          <w:insideV w:val="single" w:color="auto" w:sz="4"/>
        </w:tblBorders>
      </w:tblPr>
      <w:tblGrid>
        <w:gridCol w:w="4060"/>
        <w:gridCol w:w="5686"/>
      </w:tblGrid>
      <w:tr>
        <w:trPr>
          <w:cantSplit/>
          <w:tblHeader/>
        </w:trPr>
        <w:tc>
          <w:tcPr>
            <w:tcW w:type="dxa" w:w="4060"/>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Problem</w:t>
            </w:r>
          </w:p>
        </w:tc>
        <w:tc>
          <w:tcPr>
            <w:tcW w:type="dxa" w:w="5686"/>
            <w:tcBorders>
              <w:top w:val="single" w:color="D5DCE6" w:sz="4"/>
              <w:left w:val="single" w:color="D5DCE6" w:sz="4"/>
              <w:bottom w:val="single" w:color="D5DCE6" w:sz="4"/>
              <w:right w:val="single" w:color="D5DCE6" w:sz="4"/>
            </w:tcBorders>
            <w:shd w:fill="1F3A5F" w:color="auto" w:val="clear"/>
            <w:tcMar>
              <w:top w:type="dxa" w:w="50"/>
              <w:left w:type="dxa" w:w="80"/>
              <w:bottom w:type="dxa" w:w="50"/>
              <w:right w:type="dxa" w:w="80"/>
            </w:tcMar>
          </w:tcPr>
          <w:p>
            <w:pPr>
              <w:jc w:val="left"/>
            </w:pPr>
            <w:r>
              <w:rPr>
                <w:rFonts w:ascii="Calibri" w:cs="Calibri" w:eastAsia="Calibri" w:hAnsi="Calibri"/>
                <w:b/>
                <w:bCs/>
                <w:color w:val="FFFFFF"/>
                <w:sz w:val="17"/>
                <w:szCs w:val="17"/>
              </w:rPr>
              <w:t xml:space="preserve">Fix</w:t>
            </w:r>
          </w:p>
        </w:tc>
      </w:tr>
      <w:tr>
        <w:trPr>
          <w:cantSplit/>
        </w:trPr>
        <w:tc>
          <w:tcPr>
            <w:tcW w:type="dxa" w:w="406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onsolas" w:cs="Consolas" w:eastAsia="Consolas" w:hAnsi="Consolas"/>
                <w:color w:val="1F3A5F"/>
                <w:sz w:val="16"/>
                <w:szCs w:val="16"/>
              </w:rPr>
              <w:t xml:space="preserve">kaggle</w:t>
            </w:r>
            <w:r>
              <w:rPr>
                <w:rFonts w:ascii="Calibri" w:cs="Calibri" w:eastAsia="Calibri" w:hAnsi="Calibri"/>
                <w:sz w:val="17"/>
                <w:szCs w:val="17"/>
              </w:rPr>
              <w:t xml:space="preserve"> command or import not found, or 'Could not find kaggle.json'</w:t>
            </w:r>
          </w:p>
        </w:tc>
        <w:tc>
          <w:tcPr>
            <w:tcW w:type="dxa" w:w="568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pip install kaggle; place kaggle.json in ~/.kaggle (chmod 600) or set KAGGLE_USERNAME and KAGGLE_KEY</w:t>
            </w:r>
          </w:p>
        </w:tc>
      </w:tr>
      <w:tr>
        <w:trPr>
          <w:cantSplit/>
        </w:trPr>
        <w:tc>
          <w:tcPr>
            <w:tcW w:type="dxa" w:w="406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403 or 'accept competition rules' from Kaggle</w:t>
            </w:r>
          </w:p>
        </w:tc>
        <w:tc>
          <w:tcPr>
            <w:tcW w:type="dxa" w:w="568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Open the dataset page once while logged in and make sure the token belongs to that account</w:t>
            </w:r>
          </w:p>
        </w:tc>
      </w:tr>
      <w:tr>
        <w:trPr>
          <w:cantSplit/>
        </w:trPr>
        <w:tc>
          <w:tcPr>
            <w:tcW w:type="dxa" w:w="406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Kaggle file name differs after download</w:t>
            </w:r>
          </w:p>
        </w:tc>
        <w:tc>
          <w:tcPr>
            <w:tcW w:type="dxa" w:w="568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Run </w:t>
            </w:r>
            <w:r>
              <w:rPr>
                <w:rFonts w:ascii="Consolas" w:cs="Consolas" w:eastAsia="Consolas" w:hAnsi="Consolas"/>
                <w:color w:val="1F3A5F"/>
                <w:sz w:val="16"/>
                <w:szCs w:val="16"/>
              </w:rPr>
              <w:t xml:space="preserve">kaggle datasets files ankitbansal06/retail-orders</w:t>
            </w:r>
            <w:r>
              <w:rPr>
                <w:rFonts w:ascii="Calibri" w:cs="Calibri" w:eastAsia="Calibri" w:hAnsi="Calibri"/>
                <w:sz w:val="17"/>
                <w:szCs w:val="17"/>
              </w:rPr>
              <w:t xml:space="preserve"> and update KAGGLE_FILE in the script</w:t>
            </w:r>
          </w:p>
        </w:tc>
      </w:tr>
      <w:tr>
        <w:trPr>
          <w:cantSplit/>
        </w:trPr>
        <w:tc>
          <w:tcPr>
            <w:tcW w:type="dxa" w:w="406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pyodbc error 'Data source name not found'</w:t>
            </w:r>
          </w:p>
        </w:tc>
        <w:tc>
          <w:tcPr>
            <w:tcW w:type="dxa" w:w="568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Install Microsoft ODBC Driver 17/18 for SQL Server and match the driver name in the connection URL</w:t>
            </w:r>
          </w:p>
        </w:tc>
      </w:tr>
      <w:tr>
        <w:trPr>
          <w:cantSplit/>
        </w:trPr>
        <w:tc>
          <w:tcPr>
            <w:tcW w:type="dxa" w:w="406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SQL Server error about too many parameters on load</w:t>
            </w:r>
          </w:p>
        </w:tc>
        <w:tc>
          <w:tcPr>
            <w:tcW w:type="dxa" w:w="568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Keep </w:t>
            </w:r>
            <w:r>
              <w:rPr>
                <w:rFonts w:ascii="Consolas" w:cs="Consolas" w:eastAsia="Consolas" w:hAnsi="Consolas"/>
                <w:color w:val="1F3A5F"/>
                <w:sz w:val="16"/>
                <w:szCs w:val="16"/>
              </w:rPr>
              <w:t xml:space="preserve">chunksize=500</w:t>
            </w:r>
            <w:r>
              <w:rPr>
                <w:rFonts w:ascii="Calibri" w:cs="Calibri" w:eastAsia="Calibri" w:hAnsi="Calibri"/>
                <w:sz w:val="17"/>
                <w:szCs w:val="17"/>
              </w:rPr>
              <w:t xml:space="preserve"> in </w:t>
            </w:r>
            <w:r>
              <w:rPr>
                <w:rFonts w:ascii="Consolas" w:cs="Consolas" w:eastAsia="Consolas" w:hAnsi="Consolas"/>
                <w:color w:val="1F3A5F"/>
                <w:sz w:val="16"/>
                <w:szCs w:val="16"/>
              </w:rPr>
              <w:t xml:space="preserve">to_sql</w:t>
            </w:r>
            <w:r>
              <w:rPr>
                <w:rFonts w:ascii="Calibri" w:cs="Calibri" w:eastAsia="Calibri" w:hAnsi="Calibri"/>
                <w:sz w:val="17"/>
                <w:szCs w:val="17"/>
              </w:rPr>
              <w:t xml:space="preserve">; SQL Server allows 2,100 parameters per statement</w:t>
            </w:r>
          </w:p>
        </w:tc>
      </w:tr>
      <w:tr>
        <w:trPr>
          <w:cantSplit/>
        </w:trPr>
        <w:tc>
          <w:tcPr>
            <w:tcW w:type="dxa" w:w="406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Power BI shows months in alphabetical order</w:t>
            </w:r>
          </w:p>
        </w:tc>
        <w:tc>
          <w:tcPr>
            <w:tcW w:type="dxa" w:w="568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Sort </w:t>
            </w:r>
            <w:r>
              <w:rPr>
                <w:rFonts w:ascii="Consolas" w:cs="Consolas" w:eastAsia="Consolas" w:hAnsi="Consolas"/>
                <w:color w:val="1F3A5F"/>
                <w:sz w:val="16"/>
                <w:szCs w:val="16"/>
              </w:rPr>
              <w:t xml:space="preserve">Month</w:t>
            </w:r>
            <w:r>
              <w:rPr>
                <w:rFonts w:ascii="Calibri" w:cs="Calibri" w:eastAsia="Calibri" w:hAnsi="Calibri"/>
                <w:sz w:val="17"/>
                <w:szCs w:val="17"/>
              </w:rPr>
              <w:t xml:space="preserve"> by </w:t>
            </w:r>
            <w:r>
              <w:rPr>
                <w:rFonts w:ascii="Consolas" w:cs="Consolas" w:eastAsia="Consolas" w:hAnsi="Consolas"/>
                <w:color w:val="1F3A5F"/>
                <w:sz w:val="16"/>
                <w:szCs w:val="16"/>
              </w:rPr>
              <w:t xml:space="preserve">Month No</w:t>
            </w:r>
            <w:r>
              <w:rPr>
                <w:rFonts w:ascii="Calibri" w:cs="Calibri" w:eastAsia="Calibri" w:hAnsi="Calibri"/>
                <w:sz w:val="17"/>
                <w:szCs w:val="17"/>
              </w:rPr>
              <w:t xml:space="preserve"> (and </w:t>
            </w:r>
            <w:r>
              <w:rPr>
                <w:rFonts w:ascii="Consolas" w:cs="Consolas" w:eastAsia="Consolas" w:hAnsi="Consolas"/>
                <w:color w:val="1F3A5F"/>
                <w:sz w:val="16"/>
                <w:szCs w:val="16"/>
              </w:rPr>
              <w:t xml:space="preserve">order_month_name</w:t>
            </w:r>
            <w:r>
              <w:rPr>
                <w:rFonts w:ascii="Calibri" w:cs="Calibri" w:eastAsia="Calibri" w:hAnsi="Calibri"/>
                <w:sz w:val="17"/>
                <w:szCs w:val="17"/>
              </w:rPr>
              <w:t xml:space="preserve"> by </w:t>
            </w:r>
            <w:r>
              <w:rPr>
                <w:rFonts w:ascii="Consolas" w:cs="Consolas" w:eastAsia="Consolas" w:hAnsi="Consolas"/>
                <w:color w:val="1F3A5F"/>
                <w:sz w:val="16"/>
                <w:szCs w:val="16"/>
              </w:rPr>
              <w:t xml:space="preserve">order_month</w:t>
            </w:r>
            <w:r>
              <w:rPr>
                <w:rFonts w:ascii="Calibri" w:cs="Calibri" w:eastAsia="Calibri" w:hAnsi="Calibri"/>
                <w:sz w:val="17"/>
                <w:szCs w:val="17"/>
              </w:rPr>
              <w:t xml:space="preserve">)</w:t>
            </w:r>
          </w:p>
        </w:tc>
      </w:tr>
      <w:tr>
        <w:trPr>
          <w:cantSplit/>
        </w:trPr>
        <w:tc>
          <w:tcPr>
            <w:tcW w:type="dxa" w:w="4060"/>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Time-intelligence measures return blank</w:t>
            </w:r>
          </w:p>
        </w:tc>
        <w:tc>
          <w:tcPr>
            <w:tcW w:type="dxa" w:w="5686"/>
            <w:tcBorders>
              <w:top w:val="single" w:color="D5DCE6" w:sz="4"/>
              <w:left w:val="single" w:color="D5DCE6" w:sz="4"/>
              <w:bottom w:val="single" w:color="D5DCE6" w:sz="4"/>
              <w:right w:val="single" w:color="D5DCE6" w:sz="4"/>
            </w:tcBorders>
            <w:shd w:fill="FFFFFF" w:color="auto" w:val="clear"/>
            <w:tcMar>
              <w:top w:type="dxa" w:w="50"/>
              <w:left w:type="dxa" w:w="80"/>
              <w:bottom w:type="dxa" w:w="50"/>
              <w:right w:type="dxa" w:w="80"/>
            </w:tcMar>
          </w:tcPr>
          <w:p>
            <w:pPr>
              <w:jc w:val="left"/>
            </w:pPr>
            <w:r>
              <w:rPr>
                <w:rFonts w:ascii="Calibri" w:cs="Calibri" w:eastAsia="Calibri" w:hAnsi="Calibri"/>
                <w:sz w:val="17"/>
                <w:szCs w:val="17"/>
              </w:rPr>
              <w:t xml:space="preserve">Mark dim_date as the date table and make sure the relationship uses </w:t>
            </w:r>
            <w:r>
              <w:rPr>
                <w:rFonts w:ascii="Consolas" w:cs="Consolas" w:eastAsia="Consolas" w:hAnsi="Consolas"/>
                <w:color w:val="1F3A5F"/>
                <w:sz w:val="16"/>
                <w:szCs w:val="16"/>
              </w:rPr>
              <w:t xml:space="preserve">df_orders[order_date]</w:t>
            </w:r>
            <w:r>
              <w:rPr>
                <w:rFonts w:ascii="Calibri" w:cs="Calibri" w:eastAsia="Calibri" w:hAnsi="Calibri"/>
                <w:sz w:val="17"/>
                <w:szCs w:val="17"/>
              </w:rPr>
              <w:t xml:space="preserve"> as a date type</w:t>
            </w:r>
          </w:p>
        </w:tc>
      </w:tr>
      <w:tr>
        <w:trPr>
          <w:cantSplit/>
        </w:trPr>
        <w:tc>
          <w:tcPr>
            <w:tcW w:type="dxa" w:w="4060"/>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Postal codes show 2110 instead of 02110</w:t>
            </w:r>
          </w:p>
        </w:tc>
        <w:tc>
          <w:tcPr>
            <w:tcW w:type="dxa" w:w="5686"/>
            <w:tcBorders>
              <w:top w:val="single" w:color="D5DCE6" w:sz="4"/>
              <w:left w:val="single" w:color="D5DCE6" w:sz="4"/>
              <w:bottom w:val="single" w:color="D5DCE6" w:sz="4"/>
              <w:right w:val="single" w:color="D5DCE6" w:sz="4"/>
            </w:tcBorders>
            <w:shd w:fill="F7F9FC" w:color="auto" w:val="clear"/>
            <w:tcMar>
              <w:top w:type="dxa" w:w="50"/>
              <w:left w:type="dxa" w:w="80"/>
              <w:bottom w:type="dxa" w:w="50"/>
              <w:right w:type="dxa" w:w="80"/>
            </w:tcMar>
          </w:tcPr>
          <w:p>
            <w:pPr>
              <w:jc w:val="left"/>
            </w:pPr>
            <w:r>
              <w:rPr>
                <w:rFonts w:ascii="Calibri" w:cs="Calibri" w:eastAsia="Calibri" w:hAnsi="Calibri"/>
                <w:sz w:val="17"/>
                <w:szCs w:val="17"/>
              </w:rPr>
              <w:t xml:space="preserve">Keep postal_code as text in Power Query; the cleaning script already pads to 5 digits</w:t>
            </w:r>
          </w:p>
        </w:tc>
      </w:tr>
    </w:tbl>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2606D"/>
        <w:sz w:val="16"/>
        <w:szCs w:val="16"/>
      </w:rPr>
      <w:t xml:space="preserve">Page </w:t>
    </w:r>
    <w:r>
      <w:rPr>
        <w:rFonts w:ascii="Calibri" w:cs="Calibri" w:eastAsia="Calibri" w:hAnsi="Calibri"/>
        <w:color w:val="52606D"/>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52606D"/>
        <w:sz w:val="16"/>
        <w:szCs w:val="16"/>
      </w:rPr>
      <w:t xml:space="preserve">Solution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abstractNum w:abstractNumId="3" w15:restartNumberingAfterBreak="0">
    <w:multiLevelType w:val="hybridMultilevel"/>
    <w:lvl w:ilvl="0" w15:tentative="1">
      <w:start w:val="1"/>
      <w:numFmt w:val="decimal"/>
      <w:lvlText w:val="%1."/>
      <w:lvlJc w:val="left"/>
      <w:pPr>
        <w:ind w:left="540" w:hanging="320"/>
      </w:pPr>
    </w:lvl>
  </w:abstractNum>
  <w:abstractNum w:abstractNumId="4" w15:restartNumberingAfterBreak="0">
    <w:multiLevelType w:val="hybridMultilevel"/>
    <w:lvl w:ilvl="0" w15:tentative="1">
      <w:start w:val="1"/>
      <w:numFmt w:val="decimal"/>
      <w:lvlText w:val="%1."/>
      <w:lvlJc w:val="left"/>
      <w:pPr>
        <w:ind w:left="540" w:hanging="320"/>
      </w:pPr>
    </w:lvl>
  </w:abstractNum>
  <w:abstractNum w:abstractNumId="5" w15:restartNumberingAfterBreak="0">
    <w:multiLevelType w:val="hybridMultilevel"/>
    <w:lvl w:ilvl="0" w15:tentative="1">
      <w:start w:val="1"/>
      <w:numFmt w:val="decimal"/>
      <w:lvlText w:val="%1."/>
      <w:lvlJc w:val="left"/>
      <w:pPr>
        <w:ind w:left="540" w:hanging="320"/>
      </w:pPr>
    </w:lvl>
  </w:abstractNum>
  <w:abstractNum w:abstractNumId="6" w15:restartNumberingAfterBreak="0">
    <w:multiLevelType w:val="hybridMultilevel"/>
    <w:lvl w:ilvl="0" w15:tentative="1">
      <w:start w:val="1"/>
      <w:numFmt w:val="decimal"/>
      <w:lvlText w:val="%1."/>
      <w:lvlJc w:val="left"/>
      <w:pPr>
        <w:ind w:left="540" w:hanging="320"/>
      </w:pPr>
    </w:lvl>
  </w:abstractNum>
  <w:abstractNum w:abstractNumId="7" w15:restartNumberingAfterBreak="0">
    <w:multiLevelType w:val="hybridMultilevel"/>
    <w:lvl w:ilvl="0" w15:tentative="1">
      <w:start w:val="1"/>
      <w:numFmt w:val="decimal"/>
      <w:lvlText w:val="%1."/>
      <w:lvlJc w:val="left"/>
      <w:pPr>
        <w:ind w:left="540" w:hanging="32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Calibri" w:cs="Calibri" w:eastAsia="Calibri" w:hAnsi="Calibri"/>
      <w:b/>
      <w:bCs/>
      <w:color w:val="1F3A5F"/>
      <w:sz w:val="32"/>
      <w:szCs w:val="32"/>
    </w:rPr>
  </w:style>
  <w:style w:type="paragraph" w:styleId="Heading2">
    <w:name w:val="Heading 2"/>
    <w:basedOn w:val="Normal"/>
    <w:next w:val="Normal"/>
    <w:qFormat/>
    <w:pPr>
      <w:spacing w:after="100" w:before="240"/>
      <w:outlineLvl w:val="1"/>
    </w:pPr>
    <w:rPr>
      <w:rFonts w:ascii="Calibri" w:cs="Calibri" w:eastAsia="Calibri" w:hAnsi="Calibri"/>
      <w:b/>
      <w:bCs/>
      <w:color w:val="2A9D8F"/>
      <w:sz w:val="26"/>
      <w:szCs w:val="26"/>
    </w:rPr>
  </w:style>
  <w:style w:type="paragraph" w:styleId="Heading3">
    <w:name w:val="Heading 3"/>
    <w:basedOn w:val="Normal"/>
    <w:next w:val="Normal"/>
    <w:qFormat/>
    <w:pPr>
      <w:spacing w:after="80" w:before="180"/>
      <w:outlineLvl w:val="2"/>
    </w:pPr>
    <w:rPr>
      <w:rFonts w:ascii="Calibri" w:cs="Calibri" w:eastAsia="Calibri" w:hAnsi="Calibri"/>
      <w:b/>
      <w:bCs/>
      <w:color w:val="1F3A5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c0edb327f8c331a0b88622b6cfdb1b43272d6a2.png"/><Relationship Id="rId10" Type="http://schemas.openxmlformats.org/officeDocument/2006/relationships/image" Target="media/f1609d492328498d79c599ba493c9208bda597fb.png"/><Relationship Id="rId11" Type="http://schemas.openxmlformats.org/officeDocument/2006/relationships/image" Target="media/c1cdbfd95568bc56644a3ff25fa4f6ba32a35e5f.png"/><Relationship Id="rId12" Type="http://schemas.openxmlformats.org/officeDocument/2006/relationships/image" Target="media/9bf91e5d3dabee5d6df475f4c3ac41c2ecbaa54c.png"/><Relationship Id="rId13" Type="http://schemas.openxmlformats.org/officeDocument/2006/relationships/image" Target="media/be3bd9f3b5dab591f3d3cf91c72a1d926d1e1a88.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Solution Guide</dc:title>
  <dc:creator>Fortray Global Services</dc:creator>
  <cp:lastModifiedBy>Un-named</cp:lastModifiedBy>
  <cp:revision>1</cp:revision>
  <dcterms:created xsi:type="dcterms:W3CDTF">2026-10-09T13:45:02.679Z</dcterms:created>
  <dcterms:modified xsi:type="dcterms:W3CDTF">2026-10-09T13:45:02.681Z</dcterms:modified>
</cp:coreProperties>
</file>

<file path=docProps/custom.xml><?xml version="1.0" encoding="utf-8"?>
<Properties xmlns="http://schemas.openxmlformats.org/officeDocument/2006/custom-properties" xmlns:vt="http://schemas.openxmlformats.org/officeDocument/2006/docPropsVTypes"/>
</file>