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3F6B17" w:val="clear"/>
            <w:tcMar>
              <w:top w:type="dxa" w:w="700"/>
              <w:left w:type="dxa" w:w="500"/>
              <w:bottom w:type="dxa" w:w="700"/>
              <w:right w:type="dxa" w:w="500"/>
            </w:tcMar>
          </w:tcPr>
          <w:p>
            <w:pPr>
              <w:spacing w:after="80"/>
              <w:jc w:val="center"/>
            </w:pPr>
            <w:r>
              <w:rPr>
                <w:rFonts w:ascii="Calibri" w:cs="Calibri" w:eastAsia="Calibri" w:hAnsi="Calibri"/>
                <w:b/>
                <w:bCs/>
                <w:color w:val="D9EAC2"/>
                <w:sz w:val="26"/>
                <w:szCs w:val="26"/>
              </w:rPr>
              <w:t xml:space="preserve">🌸  FERNS &amp; PETALS</w:t>
            </w:r>
          </w:p>
          <w:p>
            <w:pPr>
              <w:spacing w:after="200"/>
              <w:jc w:val="center"/>
            </w:pPr>
            <w:r>
              <w:rPr>
                <w:rFonts w:ascii="Calibri" w:cs="Calibri" w:eastAsia="Calibri" w:hAnsi="Calibri"/>
                <w:b/>
                <w:bCs/>
                <w:color w:val="FFFFFF"/>
                <w:sz w:val="52"/>
                <w:szCs w:val="52"/>
              </w:rPr>
              <w:t xml:space="preserve">Sales Analysis Report</w:t>
            </w:r>
          </w:p>
          <w:p>
            <w:pPr>
              <w:jc w:val="center"/>
            </w:pPr>
            <w:r>
              <w:rPr>
                <w:rFonts w:ascii="Calibri" w:cs="Calibri" w:eastAsia="Calibri" w:hAnsi="Calibri"/>
                <w:i/>
                <w:iCs/>
                <w:color w:val="E9F3DA"/>
                <w:sz w:val="24"/>
                <w:szCs w:val="24"/>
              </w:rPr>
              <w:t xml:space="preserve">Revenue, Delivery Performance &amp; Customer Insights across 1,000 Orders</w:t>
            </w:r>
          </w:p>
        </w:tc>
      </w:tr>
    </w:tbl>
    <w:p>
      <w:pPr>
        <w:spacing w:before="900"/>
      </w:pPr>
    </w:p>
    <w:p>
      <w:pPr>
        <w:spacing w:after="60"/>
        <w:jc w:val="center"/>
      </w:pPr>
      <w:r>
        <w:rPr>
          <w:rFonts w:ascii="Calibri" w:cs="Calibri" w:eastAsia="Calibri" w:hAnsi="Calibri"/>
          <w:color w:val="666666"/>
          <w:sz w:val="20"/>
          <w:szCs w:val="20"/>
        </w:rPr>
        <w:t xml:space="preserve">Prepared by</w:t>
      </w:r>
    </w:p>
    <w:p>
      <w:pPr>
        <w:spacing w:after="200"/>
        <w:jc w:val="center"/>
      </w:pPr>
      <w:r>
        <w:rPr>
          <w:rFonts w:ascii="Calibri" w:cs="Calibri" w:eastAsia="Calibri" w:hAnsi="Calibri"/>
          <w:b/>
          <w:bCs/>
          <w:color w:val="2B2B2B"/>
          <w:sz w:val="28"/>
          <w:szCs w:val="28"/>
        </w:rPr>
        <w:t xml:space="preserve">Aniket Kalushe</w:t>
      </w:r>
    </w:p>
    <w:p>
      <w:pPr>
        <w:spacing w:after="40"/>
        <w:jc w:val="center"/>
      </w:pPr>
      <w:r>
        <w:rPr>
          <w:rFonts w:ascii="Calibri" w:cs="Calibri" w:eastAsia="Calibri" w:hAnsi="Calibri"/>
          <w:color w:val="666666"/>
          <w:sz w:val="20"/>
          <w:szCs w:val="20"/>
        </w:rPr>
        <w:t xml:space="preserve">Tools &amp; Technologies</w:t>
      </w:r>
    </w:p>
    <w:p>
      <w:pPr>
        <w:jc w:val="center"/>
      </w:pPr>
      <w:r>
        <w:rPr>
          <w:rFonts w:ascii="Calibri" w:cs="Calibri" w:eastAsia="Calibri" w:hAnsi="Calibri"/>
          <w:b/>
          <w:bCs/>
          <w:color w:val="4A7C1F"/>
          <w:sz w:val="22"/>
          <w:szCs w:val="22"/>
        </w:rPr>
        <w:t xml:space="preserve">Python (Pandas)  •  Power BI  •  DAX  •  Data Visualization</w:t>
      </w:r>
    </w:p>
    <w:p>
      <w:pPr>
        <w:spacing w:before="1600"/>
      </w:pPr>
      <w:r>
        <w:br w:type="page"/>
      </w:r>
    </w:p>
    <w:p>
      <w:pPr>
        <w:pStyle w:val="Heading1"/>
        <w:spacing w:after="300"/>
      </w:pPr>
      <w:r>
        <w:rPr>
          <w:rFonts w:ascii="Calibri" w:cs="Calibri" w:eastAsia="Calibri" w:hAnsi="Calibri"/>
          <w:b/>
          <w:bCs/>
          <w:color w:val="3F6B17"/>
          <w:sz w:val="34"/>
          <w:szCs w:val="34"/>
        </w:rPr>
        <w:t xml:space="preserve">Contents</w:t>
      </w:r>
    </w:p>
    <w:p>
      <w:pPr>
        <w:tabs>
          <w:tab w:val="right" w:pos="9026" w:leader="dot"/>
        </w:tabs>
        <w:spacing w:after="130"/>
      </w:pPr>
      <w:r>
        <w:rPr>
          <w:rFonts w:ascii="Calibri" w:cs="Calibri" w:eastAsia="Calibri" w:hAnsi="Calibri"/>
          <w:color w:val="333333"/>
          <w:sz w:val="23"/>
          <w:szCs w:val="23"/>
        </w:rPr>
        <w:t xml:space="preserve">1.   Executive Summary</w:t>
      </w:r>
    </w:p>
    <w:p>
      <w:pPr>
        <w:tabs>
          <w:tab w:val="right" w:pos="9026" w:leader="dot"/>
        </w:tabs>
        <w:spacing w:after="130"/>
      </w:pPr>
      <w:r>
        <w:rPr>
          <w:rFonts w:ascii="Calibri" w:cs="Calibri" w:eastAsia="Calibri" w:hAnsi="Calibri"/>
          <w:color w:val="333333"/>
          <w:sz w:val="23"/>
          <w:szCs w:val="23"/>
        </w:rPr>
        <w:t xml:space="preserve">2.   Key Performance Indicators</w:t>
      </w:r>
    </w:p>
    <w:p>
      <w:pPr>
        <w:tabs>
          <w:tab w:val="right" w:pos="9026" w:leader="dot"/>
        </w:tabs>
        <w:spacing w:after="130"/>
      </w:pPr>
      <w:r>
        <w:rPr>
          <w:rFonts w:ascii="Calibri" w:cs="Calibri" w:eastAsia="Calibri" w:hAnsi="Calibri"/>
          <w:color w:val="333333"/>
          <w:sz w:val="23"/>
          <w:szCs w:val="23"/>
        </w:rPr>
        <w:t xml:space="preserve">3.   Total Revenue</w:t>
      </w:r>
    </w:p>
    <w:p>
      <w:pPr>
        <w:tabs>
          <w:tab w:val="right" w:pos="9026" w:leader="dot"/>
        </w:tabs>
        <w:spacing w:after="130"/>
      </w:pPr>
      <w:r>
        <w:rPr>
          <w:rFonts w:ascii="Calibri" w:cs="Calibri" w:eastAsia="Calibri" w:hAnsi="Calibri"/>
          <w:color w:val="333333"/>
          <w:sz w:val="23"/>
          <w:szCs w:val="23"/>
        </w:rPr>
        <w:t xml:space="preserve">4.   Average Order &amp; Delivery Time</w:t>
      </w:r>
    </w:p>
    <w:p>
      <w:pPr>
        <w:tabs>
          <w:tab w:val="right" w:pos="9026" w:leader="dot"/>
        </w:tabs>
        <w:spacing w:after="130"/>
      </w:pPr>
      <w:r>
        <w:rPr>
          <w:rFonts w:ascii="Calibri" w:cs="Calibri" w:eastAsia="Calibri" w:hAnsi="Calibri"/>
          <w:color w:val="333333"/>
          <w:sz w:val="23"/>
          <w:szCs w:val="23"/>
        </w:rPr>
        <w:t xml:space="preserve">5.   Monthly Sales Performance (2023)</w:t>
      </w:r>
    </w:p>
    <w:p>
      <w:pPr>
        <w:tabs>
          <w:tab w:val="right" w:pos="9026" w:leader="dot"/>
        </w:tabs>
        <w:spacing w:after="130"/>
      </w:pPr>
      <w:r>
        <w:rPr>
          <w:rFonts w:ascii="Calibri" w:cs="Calibri" w:eastAsia="Calibri" w:hAnsi="Calibri"/>
          <w:color w:val="333333"/>
          <w:sz w:val="23"/>
          <w:szCs w:val="23"/>
        </w:rPr>
        <w:t xml:space="preserve">6.   Top Products by Revenue</w:t>
      </w:r>
    </w:p>
    <w:p>
      <w:pPr>
        <w:tabs>
          <w:tab w:val="right" w:pos="9026" w:leader="dot"/>
        </w:tabs>
        <w:spacing w:after="130"/>
      </w:pPr>
      <w:r>
        <w:rPr>
          <w:rFonts w:ascii="Calibri" w:cs="Calibri" w:eastAsia="Calibri" w:hAnsi="Calibri"/>
          <w:color w:val="333333"/>
          <w:sz w:val="23"/>
          <w:szCs w:val="23"/>
        </w:rPr>
        <w:t xml:space="preserve">7.   Customer Spending Analysis</w:t>
      </w:r>
    </w:p>
    <w:p>
      <w:pPr>
        <w:tabs>
          <w:tab w:val="right" w:pos="9026" w:leader="dot"/>
        </w:tabs>
        <w:spacing w:after="130"/>
      </w:pPr>
      <w:r>
        <w:rPr>
          <w:rFonts w:ascii="Calibri" w:cs="Calibri" w:eastAsia="Calibri" w:hAnsi="Calibri"/>
          <w:color w:val="333333"/>
          <w:sz w:val="23"/>
          <w:szCs w:val="23"/>
        </w:rPr>
        <w:t xml:space="preserve">8.   Top 10 Cities by Number of Orders</w:t>
      </w:r>
    </w:p>
    <w:p>
      <w:pPr>
        <w:tabs>
          <w:tab w:val="right" w:pos="9026" w:leader="dot"/>
        </w:tabs>
        <w:spacing w:after="130"/>
      </w:pPr>
      <w:r>
        <w:rPr>
          <w:rFonts w:ascii="Calibri" w:cs="Calibri" w:eastAsia="Calibri" w:hAnsi="Calibri"/>
          <w:color w:val="333333"/>
          <w:sz w:val="23"/>
          <w:szCs w:val="23"/>
        </w:rPr>
        <w:t xml:space="preserve">9.   Order Quantity vs. Delivery Time</w:t>
      </w:r>
    </w:p>
    <w:p>
      <w:pPr>
        <w:tabs>
          <w:tab w:val="right" w:pos="9026" w:leader="dot"/>
        </w:tabs>
        <w:spacing w:after="130"/>
      </w:pPr>
      <w:r>
        <w:rPr>
          <w:rFonts w:ascii="Calibri" w:cs="Calibri" w:eastAsia="Calibri" w:hAnsi="Calibri"/>
          <w:color w:val="333333"/>
          <w:sz w:val="23"/>
          <w:szCs w:val="23"/>
        </w:rPr>
        <w:t xml:space="preserve">10.   Revenue Comparison Between Occasions</w:t>
      </w:r>
    </w:p>
    <w:p>
      <w:pPr>
        <w:tabs>
          <w:tab w:val="right" w:pos="9026" w:leader="dot"/>
        </w:tabs>
        <w:spacing w:after="130"/>
      </w:pPr>
      <w:r>
        <w:rPr>
          <w:rFonts w:ascii="Calibri" w:cs="Calibri" w:eastAsia="Calibri" w:hAnsi="Calibri"/>
          <w:color w:val="333333"/>
          <w:sz w:val="23"/>
          <w:szCs w:val="23"/>
        </w:rPr>
        <w:t xml:space="preserve">11.   Product Popularity by Occasion</w:t>
      </w:r>
    </w:p>
    <w:p>
      <w:pPr>
        <w:tabs>
          <w:tab w:val="right" w:pos="9026" w:leader="dot"/>
        </w:tabs>
        <w:spacing w:after="130"/>
      </w:pPr>
      <w:r>
        <w:rPr>
          <w:rFonts w:ascii="Calibri" w:cs="Calibri" w:eastAsia="Calibri" w:hAnsi="Calibri"/>
          <w:color w:val="333333"/>
          <w:sz w:val="23"/>
          <w:szCs w:val="23"/>
        </w:rPr>
        <w:t xml:space="preserve">12.   Category-Level View</w:t>
      </w:r>
    </w:p>
    <w:p>
      <w:pPr>
        <w:tabs>
          <w:tab w:val="right" w:pos="9026" w:leader="dot"/>
        </w:tabs>
        <w:spacing w:after="130"/>
      </w:pPr>
      <w:r>
        <w:rPr>
          <w:rFonts w:ascii="Calibri" w:cs="Calibri" w:eastAsia="Calibri" w:hAnsi="Calibri"/>
          <w:color w:val="333333"/>
          <w:sz w:val="23"/>
          <w:szCs w:val="23"/>
        </w:rPr>
        <w:t xml:space="preserve">13.   Recommendations</w:t>
      </w:r>
    </w:p>
    <w:p>
      <w:pPr>
        <w:tabs>
          <w:tab w:val="right" w:pos="9026" w:leader="dot"/>
        </w:tabs>
        <w:spacing w:after="130"/>
      </w:pPr>
      <w:r>
        <w:rPr>
          <w:rFonts w:ascii="Calibri" w:cs="Calibri" w:eastAsia="Calibri" w:hAnsi="Calibri"/>
          <w:color w:val="333333"/>
          <w:sz w:val="23"/>
          <w:szCs w:val="23"/>
        </w:rPr>
        <w:t xml:space="preserve">14.   Tools &amp; Methodology</w:t>
      </w:r>
    </w:p>
    <w:p>
      <w:r>
        <w:br w:type="page"/>
      </w:r>
    </w:p>
    <w:p>
      <w:pPr>
        <w:pStyle w:val="Heading1"/>
        <w:pBdr>
          <w:bottom w:val="single" w:color="8DC63F" w:sz="12" w:space="6"/>
        </w:pBdr>
        <w:spacing w:after="180" w:before="420"/>
      </w:pPr>
      <w:r>
        <w:rPr>
          <w:rFonts w:ascii="Calibri" w:cs="Calibri" w:eastAsia="Calibri" w:hAnsi="Calibri"/>
          <w:b/>
          <w:bCs/>
          <w:color w:val="8DC63F"/>
          <w:sz w:val="30"/>
          <w:szCs w:val="30"/>
        </w:rPr>
        <w:t xml:space="preserve">1  </w:t>
      </w:r>
      <w:r>
        <w:rPr>
          <w:rFonts w:ascii="Calibri" w:cs="Calibri" w:eastAsia="Calibri" w:hAnsi="Calibri"/>
          <w:b/>
          <w:bCs/>
          <w:color w:val="2B2B2B"/>
          <w:sz w:val="30"/>
          <w:szCs w:val="30"/>
        </w:rPr>
        <w:t xml:space="preserve">Executive Summary</w:t>
      </w:r>
    </w:p>
    <w:p>
      <w:pPr>
        <w:spacing w:after="140" w:line="300"/>
      </w:pPr>
      <w:r>
        <w:rPr>
          <w:rFonts w:ascii="Calibri" w:cs="Calibri" w:eastAsia="Calibri" w:hAnsi="Calibri"/>
          <w:color w:val="333333"/>
          <w:sz w:val="22"/>
          <w:szCs w:val="22"/>
        </w:rPr>
        <w:t xml:space="preserve">Ferns &amp; Petals (FNP) is a gifting company delivering products across Indian cities for occasions such as Diwali, Raksha Bandhan, Holi, Valentine's Day, Birthdays, and Anniversaries. This analysis covers 1,000 orders placed by 100 customers across 71 products, with the goal of identifying revenue drivers, delivery performance, and customer spending patterns to support data-driven sales strategy.</w:t>
      </w:r>
    </w:p>
    <w:p>
      <w:pPr>
        <w:spacing w:after="140" w:line="300"/>
      </w:pPr>
      <w:r>
        <w:rPr>
          <w:rFonts w:ascii="Calibri" w:cs="Calibri" w:eastAsia="Calibri" w:hAnsi="Calibri"/>
          <w:color w:val="333333"/>
          <w:sz w:val="22"/>
          <w:szCs w:val="22"/>
        </w:rPr>
        <w:t xml:space="preserve">The dataset was cleaned and joined using Python (Pandas), and the findings were rebuilt as an interactive Power BI dashboard with DAX measures, giving both a static report view and a self-serve exploration tool.</w:t>
      </w:r>
    </w:p>
    <w:p>
      <w:pPr>
        <w:pStyle w:val="Heading1"/>
        <w:pBdr>
          <w:bottom w:val="single" w:color="8DC63F" w:sz="12" w:space="6"/>
        </w:pBdr>
        <w:spacing w:after="180" w:before="420"/>
      </w:pPr>
      <w:r>
        <w:rPr>
          <w:rFonts w:ascii="Calibri" w:cs="Calibri" w:eastAsia="Calibri" w:hAnsi="Calibri"/>
          <w:b/>
          <w:bCs/>
          <w:color w:val="8DC63F"/>
          <w:sz w:val="30"/>
          <w:szCs w:val="30"/>
        </w:rPr>
        <w:t xml:space="preserve">2  </w:t>
      </w:r>
      <w:r>
        <w:rPr>
          <w:rFonts w:ascii="Calibri" w:cs="Calibri" w:eastAsia="Calibri" w:hAnsi="Calibri"/>
          <w:b/>
          <w:bCs/>
          <w:color w:val="2B2B2B"/>
          <w:sz w:val="30"/>
          <w:szCs w:val="30"/>
        </w:rPr>
        <w:t xml:space="preserve">Key Performance Indicators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3F6B17" w:val="clear"/>
            <w:tcMar>
              <w:top w:type="dxa" w:w="220"/>
              <w:left w:type="dxa" w:w="100"/>
              <w:bottom w:type="dxa" w:w="220"/>
              <w:right w:type="dxa" w:w="100"/>
            </w:tcMar>
            <w:vAlign w:val="center"/>
          </w:tcPr>
          <w:p>
            <w:pPr>
              <w:spacing w:after="40"/>
              <w:jc w:val="center"/>
            </w:pPr>
            <w:r>
              <w:rPr>
                <w:rFonts w:ascii="Calibri" w:cs="Calibri" w:eastAsia="Calibri" w:hAnsi="Calibri"/>
                <w:b/>
                <w:bCs/>
                <w:color w:val="FFFFFF"/>
                <w:sz w:val="27"/>
                <w:szCs w:val="27"/>
              </w:rPr>
              <w:t xml:space="preserve">1,000</w:t>
            </w:r>
          </w:p>
          <w:p>
            <w:pPr>
              <w:jc w:val="center"/>
            </w:pPr>
            <w:r>
              <w:rPr>
                <w:rFonts w:ascii="Calibri" w:cs="Calibri" w:eastAsia="Calibri" w:hAnsi="Calibri"/>
                <w:color w:val="D9EAC2"/>
                <w:sz w:val="16"/>
                <w:szCs w:val="16"/>
              </w:rPr>
              <w:t xml:space="preserve">TOTAL ORDERS</w:t>
            </w:r>
          </w:p>
        </w:tc>
        <w:tc>
          <w:tcPr>
            <w:tcW w:type="dxa" w:w="2337"/>
            <w:shd w:fill="3F6B17" w:val="clear"/>
            <w:tcMar>
              <w:top w:type="dxa" w:w="220"/>
              <w:left w:type="dxa" w:w="100"/>
              <w:bottom w:type="dxa" w:w="220"/>
              <w:right w:type="dxa" w:w="100"/>
            </w:tcMar>
            <w:vAlign w:val="center"/>
          </w:tcPr>
          <w:p>
            <w:pPr>
              <w:spacing w:after="40"/>
              <w:jc w:val="center"/>
            </w:pPr>
            <w:r>
              <w:rPr>
                <w:rFonts w:ascii="Calibri" w:cs="Calibri" w:eastAsia="Calibri" w:hAnsi="Calibri"/>
                <w:b/>
                <w:bCs/>
                <w:color w:val="FFFFFF"/>
                <w:sz w:val="27"/>
                <w:szCs w:val="27"/>
              </w:rPr>
              <w:t xml:space="preserve">₹35.2L</w:t>
            </w:r>
          </w:p>
          <w:p>
            <w:pPr>
              <w:jc w:val="center"/>
            </w:pPr>
            <w:r>
              <w:rPr>
                <w:rFonts w:ascii="Calibri" w:cs="Calibri" w:eastAsia="Calibri" w:hAnsi="Calibri"/>
                <w:color w:val="D9EAC2"/>
                <w:sz w:val="16"/>
                <w:szCs w:val="16"/>
              </w:rPr>
              <w:t xml:space="preserve">TOTAL REVENUE</w:t>
            </w:r>
          </w:p>
        </w:tc>
        <w:tc>
          <w:tcPr>
            <w:tcW w:type="dxa" w:w="2337"/>
            <w:shd w:fill="3F6B17" w:val="clear"/>
            <w:tcMar>
              <w:top w:type="dxa" w:w="220"/>
              <w:left w:type="dxa" w:w="100"/>
              <w:bottom w:type="dxa" w:w="220"/>
              <w:right w:type="dxa" w:w="100"/>
            </w:tcMar>
            <w:vAlign w:val="center"/>
          </w:tcPr>
          <w:p>
            <w:pPr>
              <w:spacing w:after="40"/>
              <w:jc w:val="center"/>
            </w:pPr>
            <w:r>
              <w:rPr>
                <w:rFonts w:ascii="Calibri" w:cs="Calibri" w:eastAsia="Calibri" w:hAnsi="Calibri"/>
                <w:b/>
                <w:bCs/>
                <w:color w:val="FFFFFF"/>
                <w:sz w:val="27"/>
                <w:szCs w:val="27"/>
              </w:rPr>
              <w:t xml:space="preserve">5.53 days</w:t>
            </w:r>
          </w:p>
          <w:p>
            <w:pPr>
              <w:jc w:val="center"/>
            </w:pPr>
            <w:r>
              <w:rPr>
                <w:rFonts w:ascii="Calibri" w:cs="Calibri" w:eastAsia="Calibri" w:hAnsi="Calibri"/>
                <w:color w:val="D9EAC2"/>
                <w:sz w:val="16"/>
                <w:szCs w:val="16"/>
              </w:rPr>
              <w:t xml:space="preserve">AVG. DELIVERY TIME</w:t>
            </w:r>
          </w:p>
        </w:tc>
        <w:tc>
          <w:tcPr>
            <w:tcW w:type="dxa" w:w="2337"/>
            <w:shd w:fill="3F6B17" w:val="clear"/>
            <w:tcMar>
              <w:top w:type="dxa" w:w="220"/>
              <w:left w:type="dxa" w:w="100"/>
              <w:bottom w:type="dxa" w:w="220"/>
              <w:right w:type="dxa" w:w="100"/>
            </w:tcMar>
            <w:vAlign w:val="center"/>
          </w:tcPr>
          <w:p>
            <w:pPr>
              <w:spacing w:after="40"/>
              <w:jc w:val="center"/>
            </w:pPr>
            <w:r>
              <w:rPr>
                <w:rFonts w:ascii="Calibri" w:cs="Calibri" w:eastAsia="Calibri" w:hAnsi="Calibri"/>
                <w:b/>
                <w:bCs/>
                <w:color w:val="FFFFFF"/>
                <w:sz w:val="27"/>
                <w:szCs w:val="27"/>
              </w:rPr>
              <w:t xml:space="preserve">₹35,210</w:t>
            </w:r>
          </w:p>
          <w:p>
            <w:pPr>
              <w:jc w:val="center"/>
            </w:pPr>
            <w:r>
              <w:rPr>
                <w:rFonts w:ascii="Calibri" w:cs="Calibri" w:eastAsia="Calibri" w:hAnsi="Calibri"/>
                <w:color w:val="D9EAC2"/>
                <w:sz w:val="16"/>
                <w:szCs w:val="16"/>
              </w:rPr>
              <w:t xml:space="preserve">AVG. CUSTOMER SPEND</w:t>
            </w:r>
          </w:p>
        </w:tc>
      </w:tr>
    </w:tbl>
    <w:p>
      <w:pPr>
        <w:spacing w:before="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3F6B17" w:val="clear"/>
            <w:tcMar>
              <w:top w:type="dxa" w:w="220"/>
              <w:left w:type="dxa" w:w="100"/>
              <w:bottom w:type="dxa" w:w="220"/>
              <w:right w:type="dxa" w:w="100"/>
            </w:tcMar>
            <w:vAlign w:val="center"/>
          </w:tcPr>
          <w:p>
            <w:pPr>
              <w:spacing w:after="40"/>
              <w:jc w:val="center"/>
            </w:pPr>
            <w:r>
              <w:rPr>
                <w:rFonts w:ascii="Calibri" w:cs="Calibri" w:eastAsia="Calibri" w:hAnsi="Calibri"/>
                <w:b/>
                <w:bCs/>
                <w:color w:val="FFFFFF"/>
                <w:sz w:val="27"/>
                <w:szCs w:val="27"/>
              </w:rPr>
              <w:t xml:space="preserve">100</w:t>
            </w:r>
          </w:p>
          <w:p>
            <w:pPr>
              <w:jc w:val="center"/>
            </w:pPr>
            <w:r>
              <w:rPr>
                <w:rFonts w:ascii="Calibri" w:cs="Calibri" w:eastAsia="Calibri" w:hAnsi="Calibri"/>
                <w:color w:val="D9EAC2"/>
                <w:sz w:val="16"/>
                <w:szCs w:val="16"/>
              </w:rPr>
              <w:t xml:space="preserve">UNIQUE CUSTOMERS</w:t>
            </w:r>
          </w:p>
        </w:tc>
        <w:tc>
          <w:tcPr>
            <w:tcW w:type="dxa" w:w="2337"/>
            <w:shd w:fill="3F6B17" w:val="clear"/>
            <w:tcMar>
              <w:top w:type="dxa" w:w="220"/>
              <w:left w:type="dxa" w:w="100"/>
              <w:bottom w:type="dxa" w:w="220"/>
              <w:right w:type="dxa" w:w="100"/>
            </w:tcMar>
            <w:vAlign w:val="center"/>
          </w:tcPr>
          <w:p>
            <w:pPr>
              <w:spacing w:after="40"/>
              <w:jc w:val="center"/>
            </w:pPr>
            <w:r>
              <w:rPr>
                <w:rFonts w:ascii="Calibri" w:cs="Calibri" w:eastAsia="Calibri" w:hAnsi="Calibri"/>
                <w:b/>
                <w:bCs/>
                <w:color w:val="FFFFFF"/>
                <w:sz w:val="27"/>
                <w:szCs w:val="27"/>
              </w:rPr>
              <w:t xml:space="preserve">71</w:t>
            </w:r>
          </w:p>
          <w:p>
            <w:pPr>
              <w:jc w:val="center"/>
            </w:pPr>
            <w:r>
              <w:rPr>
                <w:rFonts w:ascii="Calibri" w:cs="Calibri" w:eastAsia="Calibri" w:hAnsi="Calibri"/>
                <w:color w:val="D9EAC2"/>
                <w:sz w:val="16"/>
                <w:szCs w:val="16"/>
              </w:rPr>
              <w:t xml:space="preserve">UNIQUE PRODUCTS</w:t>
            </w:r>
          </w:p>
        </w:tc>
        <w:tc>
          <w:tcPr>
            <w:tcW w:type="dxa" w:w="2337"/>
            <w:shd w:fill="3F6B17" w:val="clear"/>
            <w:tcMar>
              <w:top w:type="dxa" w:w="220"/>
              <w:left w:type="dxa" w:w="100"/>
              <w:bottom w:type="dxa" w:w="220"/>
              <w:right w:type="dxa" w:w="100"/>
            </w:tcMar>
            <w:vAlign w:val="center"/>
          </w:tcPr>
          <w:p>
            <w:pPr>
              <w:spacing w:after="40"/>
              <w:jc w:val="center"/>
            </w:pPr>
            <w:r>
              <w:rPr>
                <w:rFonts w:ascii="Calibri" w:cs="Calibri" w:eastAsia="Calibri" w:hAnsi="Calibri"/>
                <w:b/>
                <w:bCs/>
                <w:color w:val="FFFFFF"/>
                <w:sz w:val="27"/>
                <w:szCs w:val="27"/>
              </w:rPr>
              <w:t xml:space="preserve">7</w:t>
            </w:r>
          </w:p>
          <w:p>
            <w:pPr>
              <w:jc w:val="center"/>
            </w:pPr>
            <w:r>
              <w:rPr>
                <w:rFonts w:ascii="Calibri" w:cs="Calibri" w:eastAsia="Calibri" w:hAnsi="Calibri"/>
                <w:color w:val="D9EAC2"/>
                <w:sz w:val="16"/>
                <w:szCs w:val="16"/>
              </w:rPr>
              <w:t xml:space="preserve">OCCASIONS COVERED</w:t>
            </w:r>
          </w:p>
        </w:tc>
        <w:tc>
          <w:tcPr>
            <w:tcW w:type="dxa" w:w="2337"/>
            <w:shd w:fill="3F6B17" w:val="clear"/>
            <w:tcMar>
              <w:top w:type="dxa" w:w="220"/>
              <w:left w:type="dxa" w:w="100"/>
              <w:bottom w:type="dxa" w:w="220"/>
              <w:right w:type="dxa" w:w="100"/>
            </w:tcMar>
            <w:vAlign w:val="center"/>
          </w:tcPr>
          <w:p>
            <w:pPr>
              <w:spacing w:after="40"/>
              <w:jc w:val="center"/>
            </w:pPr>
            <w:r>
              <w:rPr>
                <w:rFonts w:ascii="Calibri" w:cs="Calibri" w:eastAsia="Calibri" w:hAnsi="Calibri"/>
                <w:b/>
                <w:bCs/>
                <w:color w:val="FFFFFF"/>
                <w:sz w:val="27"/>
                <w:szCs w:val="27"/>
              </w:rPr>
              <w:t xml:space="preserve">7</w:t>
            </w:r>
          </w:p>
          <w:p>
            <w:pPr>
              <w:jc w:val="center"/>
            </w:pPr>
            <w:r>
              <w:rPr>
                <w:rFonts w:ascii="Calibri" w:cs="Calibri" w:eastAsia="Calibri" w:hAnsi="Calibri"/>
                <w:color w:val="D9EAC2"/>
                <w:sz w:val="16"/>
                <w:szCs w:val="16"/>
              </w:rPr>
              <w:t xml:space="preserve">PRODUCT CATEGORIES</w:t>
            </w:r>
          </w:p>
        </w:tc>
      </w:tr>
    </w:tbl>
    <w:p>
      <w:pPr>
        <w:pStyle w:val="Heading1"/>
        <w:pBdr>
          <w:bottom w:val="single" w:color="8DC63F" w:sz="12" w:space="6"/>
        </w:pBdr>
        <w:spacing w:after="180" w:before="420"/>
      </w:pPr>
      <w:r>
        <w:rPr>
          <w:rFonts w:ascii="Calibri" w:cs="Calibri" w:eastAsia="Calibri" w:hAnsi="Calibri"/>
          <w:b/>
          <w:bCs/>
          <w:color w:val="8DC63F"/>
          <w:sz w:val="30"/>
          <w:szCs w:val="30"/>
        </w:rPr>
        <w:t xml:space="preserve">3  </w:t>
      </w:r>
      <w:r>
        <w:rPr>
          <w:rFonts w:ascii="Calibri" w:cs="Calibri" w:eastAsia="Calibri" w:hAnsi="Calibri"/>
          <w:b/>
          <w:bCs/>
          <w:color w:val="2B2B2B"/>
          <w:sz w:val="30"/>
          <w:szCs w:val="30"/>
        </w:rPr>
        <w:t xml:space="preserve">Total Revenue</w:t>
      </w:r>
    </w:p>
    <w:p>
      <w:pPr>
        <w:spacing w:after="140" w:line="300"/>
      </w:pPr>
      <w:r>
        <w:rPr>
          <w:rFonts w:ascii="Calibri" w:cs="Calibri" w:eastAsia="Calibri" w:hAnsi="Calibri"/>
          <w:color w:val="333333"/>
          <w:sz w:val="22"/>
          <w:szCs w:val="22"/>
        </w:rPr>
        <w:t xml:space="preserve">The total revenue generated across all 1,000 orders is:</w:t>
      </w:r>
    </w:p>
    <w:p>
      <w:pPr>
        <w:spacing w:after="200" w:before="80"/>
        <w:jc w:val="center"/>
      </w:pPr>
      <w:r>
        <w:rPr>
          <w:rFonts w:ascii="Calibri" w:cs="Calibri" w:eastAsia="Calibri" w:hAnsi="Calibri"/>
          <w:b/>
          <w:bCs/>
          <w:color w:val="3F6B17"/>
          <w:sz w:val="40"/>
          <w:szCs w:val="40"/>
        </w:rPr>
        <w:t xml:space="preserve">₹ 35,20,984.00</w:t>
      </w:r>
    </w:p>
    <w:p>
      <w:pPr>
        <w:spacing w:after="140" w:line="300"/>
      </w:pPr>
      <w:r>
        <w:rPr>
          <w:rFonts w:ascii="Calibri" w:cs="Calibri" w:eastAsia="Calibri" w:hAnsi="Calibri"/>
          <w:color w:val="333333"/>
          <w:sz w:val="22"/>
          <w:szCs w:val="22"/>
        </w:rPr>
        <w:t xml:space="preserve">This figure is calculated as the sum of (Quantity × Product Price) across every order — a single top-line number for overall business performance.</w:t>
      </w:r>
    </w:p>
    <w:p>
      <w:pPr>
        <w:pStyle w:val="Heading1"/>
        <w:pBdr>
          <w:bottom w:val="single" w:color="8DC63F" w:sz="12" w:space="6"/>
        </w:pBdr>
        <w:spacing w:after="180" w:before="420"/>
      </w:pPr>
      <w:r>
        <w:rPr>
          <w:rFonts w:ascii="Calibri" w:cs="Calibri" w:eastAsia="Calibri" w:hAnsi="Calibri"/>
          <w:b/>
          <w:bCs/>
          <w:color w:val="8DC63F"/>
          <w:sz w:val="30"/>
          <w:szCs w:val="30"/>
        </w:rPr>
        <w:t xml:space="preserve">4  </w:t>
      </w:r>
      <w:r>
        <w:rPr>
          <w:rFonts w:ascii="Calibri" w:cs="Calibri" w:eastAsia="Calibri" w:hAnsi="Calibri"/>
          <w:b/>
          <w:bCs/>
          <w:color w:val="2B2B2B"/>
          <w:sz w:val="30"/>
          <w:szCs w:val="30"/>
        </w:rPr>
        <w:t xml:space="preserve">Average Order &amp; Delivery Time</w:t>
      </w:r>
    </w:p>
    <w:p>
      <w:pPr>
        <w:spacing w:after="140" w:line="300"/>
      </w:pPr>
      <w:r>
        <w:rPr>
          <w:rFonts w:ascii="Calibri" w:cs="Calibri" w:eastAsia="Calibri" w:hAnsi="Calibri"/>
          <w:color w:val="333333"/>
          <w:sz w:val="22"/>
          <w:szCs w:val="22"/>
        </w:rPr>
        <w:t xml:space="preserve">The average time between order placement and delivery is 5.53 days, derived by calculating the difference between Delivery_Date and Order_Date for every order and averaging across all 1,000 records.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8DC63F" w:sz="4"/>
              <w:left w:val="single" w:color="8DC63F" w:sz="24"/>
              <w:bottom w:val="single" w:color="8DC63F" w:sz="4"/>
              <w:right w:val="single" w:color="8DC63F" w:sz="4"/>
            </w:tcBorders>
            <w:shd w:fill="F4F6F1" w:val="clear"/>
            <w:tcMar>
              <w:top w:type="dxa" w:w="160"/>
              <w:left w:type="dxa" w:w="200"/>
              <w:bottom w:type="dxa" w:w="160"/>
              <w:right w:type="dxa" w:w="200"/>
            </w:tcMar>
          </w:tcPr>
          <w:p>
            <w:r>
              <w:rPr>
                <w:rFonts w:ascii="Calibri" w:cs="Calibri" w:eastAsia="Calibri" w:hAnsi="Calibri"/>
                <w:b/>
                <w:bCs/>
                <w:color w:val="3F6B17"/>
                <w:sz w:val="21"/>
                <w:szCs w:val="21"/>
              </w:rPr>
              <w:t xml:space="preserve">💡 Insight:  </w:t>
            </w:r>
            <w:r>
              <w:rPr>
                <w:rFonts w:ascii="Calibri" w:cs="Calibri" w:eastAsia="Calibri" w:hAnsi="Calibri"/>
                <w:color w:val="333333"/>
                <w:sz w:val="21"/>
                <w:szCs w:val="21"/>
              </w:rPr>
              <w:t xml:space="preserve">This is a key operational KPI — it reflects fulfilment efficiency and directly impacts customer satisfaction.</w:t>
            </w:r>
          </w:p>
        </w:tc>
      </w:tr>
    </w:tbl>
    <w:p>
      <w:pPr>
        <w:pStyle w:val="Heading1"/>
        <w:pBdr>
          <w:bottom w:val="single" w:color="8DC63F" w:sz="12" w:space="6"/>
        </w:pBdr>
        <w:spacing w:after="180" w:before="420"/>
      </w:pPr>
      <w:r>
        <w:rPr>
          <w:rFonts w:ascii="Calibri" w:cs="Calibri" w:eastAsia="Calibri" w:hAnsi="Calibri"/>
          <w:b/>
          <w:bCs/>
          <w:color w:val="8DC63F"/>
          <w:sz w:val="30"/>
          <w:szCs w:val="30"/>
        </w:rPr>
        <w:t xml:space="preserve">5  </w:t>
      </w:r>
      <w:r>
        <w:rPr>
          <w:rFonts w:ascii="Calibri" w:cs="Calibri" w:eastAsia="Calibri" w:hAnsi="Calibri"/>
          <w:b/>
          <w:bCs/>
          <w:color w:val="2B2B2B"/>
          <w:sz w:val="30"/>
          <w:szCs w:val="30"/>
        </w:rPr>
        <w:t xml:space="preserve">Monthly Sales Performance (2023)</w:t>
      </w:r>
    </w:p>
    <w:p>
      <w:pPr>
        <w:spacing w:after="140" w:line="300"/>
      </w:pPr>
      <w:r>
        <w:rPr>
          <w:rFonts w:ascii="Calibri" w:cs="Calibri" w:eastAsia="Calibri" w:hAnsi="Calibri"/>
          <w:color w:val="333333"/>
          <w:sz w:val="22"/>
          <w:szCs w:val="22"/>
        </w:rPr>
        <w:t xml:space="preserve">Revenue shows sharp seasonal spikes rather than steady growth. February (₹7,04,509) and August (₹7,37,389) are the strongest months, with a smaller peak in November (₹4,49,169). The remaining months sit in a much lower ₹95K–₹1.6L band.</w:t>
      </w:r>
    </w:p>
    <w:p>
      <w:pPr>
        <w:spacing w:after="60" w:before="100"/>
        <w:jc w:val="center"/>
      </w:pPr>
      <w:r>
        <w:drawing>
          <wp:inline distT="0" distB="0" distL="0" distR="0">
            <wp:extent cx="5334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24125"/>
                    </a:xfrm>
                    <a:prstGeom prst="rect">
                      <a:avLst/>
                    </a:prstGeom>
                  </pic:spPr>
                </pic:pic>
              </a:graphicData>
            </a:graphic>
          </wp:inline>
        </w:drawing>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8DC63F" w:sz="4"/>
              <w:left w:val="single" w:color="8DC63F" w:sz="24"/>
              <w:bottom w:val="single" w:color="8DC63F" w:sz="4"/>
              <w:right w:val="single" w:color="8DC63F" w:sz="4"/>
            </w:tcBorders>
            <w:shd w:fill="F4F6F1" w:val="clear"/>
            <w:tcMar>
              <w:top w:type="dxa" w:w="160"/>
              <w:left w:type="dxa" w:w="200"/>
              <w:bottom w:type="dxa" w:w="160"/>
              <w:right w:type="dxa" w:w="200"/>
            </w:tcMar>
          </w:tcPr>
          <w:p>
            <w:r>
              <w:rPr>
                <w:rFonts w:ascii="Calibri" w:cs="Calibri" w:eastAsia="Calibri" w:hAnsi="Calibri"/>
                <w:b/>
                <w:bCs/>
                <w:color w:val="3F6B17"/>
                <w:sz w:val="21"/>
                <w:szCs w:val="21"/>
              </w:rPr>
              <w:t xml:space="preserve">💡 Insight:  </w:t>
            </w:r>
            <w:r>
              <w:rPr>
                <w:rFonts w:ascii="Calibri" w:cs="Calibri" w:eastAsia="Calibri" w:hAnsi="Calibri"/>
                <w:color w:val="333333"/>
                <w:sz w:val="21"/>
                <w:szCs w:val="21"/>
              </w:rPr>
              <w:t xml:space="preserve">February aligns with Valentine's Day season, and August/November likely align with festive and Raksha Bandhan / pre-Diwali buying. Revenue is occasion-driven, not uniformly distributed — marketing and inventory should be front-loaded ahead of these peak months.</w:t>
            </w:r>
          </w:p>
        </w:tc>
      </w:tr>
    </w:tbl>
    <w:p>
      <w:pPr>
        <w:pStyle w:val="Heading1"/>
        <w:pBdr>
          <w:bottom w:val="single" w:color="8DC63F" w:sz="12" w:space="6"/>
        </w:pBdr>
        <w:spacing w:after="180" w:before="420"/>
      </w:pPr>
      <w:r>
        <w:rPr>
          <w:rFonts w:ascii="Calibri" w:cs="Calibri" w:eastAsia="Calibri" w:hAnsi="Calibri"/>
          <w:b/>
          <w:bCs/>
          <w:color w:val="8DC63F"/>
          <w:sz w:val="30"/>
          <w:szCs w:val="30"/>
        </w:rPr>
        <w:t xml:space="preserve">6  </w:t>
      </w:r>
      <w:r>
        <w:rPr>
          <w:rFonts w:ascii="Calibri" w:cs="Calibri" w:eastAsia="Calibri" w:hAnsi="Calibri"/>
          <w:b/>
          <w:bCs/>
          <w:color w:val="2B2B2B"/>
          <w:sz w:val="30"/>
          <w:szCs w:val="30"/>
        </w:rPr>
        <w:t xml:space="preserve">Top Products by Revenue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700"/>
        <w:gridCol w:w="3450"/>
      </w:tblGrid>
      <w:tr>
        <w:trPr>
          <w:tblHeader/>
        </w:trPr>
        <w:tc>
          <w:tcPr>
            <w:tcW w:type="dxa" w:w="1200"/>
            <w:shd w:fill="3F6B17"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Rank</w:t>
            </w:r>
          </w:p>
        </w:tc>
        <w:tc>
          <w:tcPr>
            <w:tcW w:type="dxa" w:w="4700"/>
            <w:shd w:fill="3F6B17"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Product</w:t>
            </w:r>
          </w:p>
        </w:tc>
        <w:tc>
          <w:tcPr>
            <w:tcW w:type="dxa" w:w="3450"/>
            <w:shd w:fill="3F6B17"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Revenue (₹)</w:t>
            </w:r>
          </w:p>
        </w:tc>
      </w:tr>
      <w:tr>
        <w:tc>
          <w:tcPr>
            <w:tcW w:type="dxa" w:w="1200"/>
            <w:shd w:fill="FFFFFF" w:val="clear"/>
            <w:tcMar>
              <w:top w:type="dxa" w:w="80"/>
              <w:left w:type="dxa" w:w="100"/>
              <w:bottom w:type="dxa" w:w="80"/>
              <w:right w:type="dxa" w:w="100"/>
            </w:tcMar>
          </w:tcPr>
          <w:p>
            <w:r>
              <w:rPr>
                <w:rFonts w:ascii="Calibri" w:cs="Calibri" w:eastAsia="Calibri" w:hAnsi="Calibri"/>
                <w:color w:val="333333"/>
                <w:sz w:val="20"/>
                <w:szCs w:val="20"/>
              </w:rPr>
              <w:t xml:space="preserve">1</w:t>
            </w:r>
          </w:p>
        </w:tc>
        <w:tc>
          <w:tcPr>
            <w:tcW w:type="dxa" w:w="4700"/>
            <w:shd w:fill="FFFFFF" w:val="clear"/>
            <w:tcMar>
              <w:top w:type="dxa" w:w="80"/>
              <w:left w:type="dxa" w:w="100"/>
              <w:bottom w:type="dxa" w:w="80"/>
              <w:right w:type="dxa" w:w="100"/>
            </w:tcMar>
          </w:tcPr>
          <w:p>
            <w:r>
              <w:rPr>
                <w:rFonts w:ascii="Calibri" w:cs="Calibri" w:eastAsia="Calibri" w:hAnsi="Calibri"/>
                <w:color w:val="333333"/>
                <w:sz w:val="20"/>
                <w:szCs w:val="20"/>
              </w:rPr>
              <w:t xml:space="preserve">Magnam Set</w:t>
            </w:r>
          </w:p>
        </w:tc>
        <w:tc>
          <w:tcPr>
            <w:tcW w:type="dxa" w:w="3450"/>
            <w:shd w:fill="FFFFFF" w:val="clear"/>
            <w:tcMar>
              <w:top w:type="dxa" w:w="80"/>
              <w:left w:type="dxa" w:w="100"/>
              <w:bottom w:type="dxa" w:w="80"/>
              <w:right w:type="dxa" w:w="100"/>
            </w:tcMar>
          </w:tcPr>
          <w:p>
            <w:r>
              <w:rPr>
                <w:rFonts w:ascii="Calibri" w:cs="Calibri" w:eastAsia="Calibri" w:hAnsi="Calibri"/>
                <w:color w:val="333333"/>
                <w:sz w:val="20"/>
                <w:szCs w:val="20"/>
              </w:rPr>
              <w:t xml:space="preserve">1,21,905</w:t>
            </w:r>
          </w:p>
        </w:tc>
      </w:tr>
      <w:tr>
        <w:tc>
          <w:tcPr>
            <w:tcW w:type="dxa" w:w="1200"/>
            <w:shd w:fill="F4F6F1" w:val="clear"/>
            <w:tcMar>
              <w:top w:type="dxa" w:w="80"/>
              <w:left w:type="dxa" w:w="100"/>
              <w:bottom w:type="dxa" w:w="80"/>
              <w:right w:type="dxa" w:w="100"/>
            </w:tcMar>
          </w:tcPr>
          <w:p>
            <w:r>
              <w:rPr>
                <w:rFonts w:ascii="Calibri" w:cs="Calibri" w:eastAsia="Calibri" w:hAnsi="Calibri"/>
                <w:color w:val="333333"/>
                <w:sz w:val="20"/>
                <w:szCs w:val="20"/>
              </w:rPr>
              <w:t xml:space="preserve">2</w:t>
            </w:r>
          </w:p>
        </w:tc>
        <w:tc>
          <w:tcPr>
            <w:tcW w:type="dxa" w:w="4700"/>
            <w:shd w:fill="F4F6F1" w:val="clear"/>
            <w:tcMar>
              <w:top w:type="dxa" w:w="80"/>
              <w:left w:type="dxa" w:w="100"/>
              <w:bottom w:type="dxa" w:w="80"/>
              <w:right w:type="dxa" w:w="100"/>
            </w:tcMar>
          </w:tcPr>
          <w:p>
            <w:r>
              <w:rPr>
                <w:rFonts w:ascii="Calibri" w:cs="Calibri" w:eastAsia="Calibri" w:hAnsi="Calibri"/>
                <w:color w:val="333333"/>
                <w:sz w:val="20"/>
                <w:szCs w:val="20"/>
              </w:rPr>
              <w:t xml:space="preserve">Quia Gift</w:t>
            </w:r>
          </w:p>
        </w:tc>
        <w:tc>
          <w:tcPr>
            <w:tcW w:type="dxa" w:w="3450"/>
            <w:shd w:fill="F4F6F1" w:val="clear"/>
            <w:tcMar>
              <w:top w:type="dxa" w:w="80"/>
              <w:left w:type="dxa" w:w="100"/>
              <w:bottom w:type="dxa" w:w="80"/>
              <w:right w:type="dxa" w:w="100"/>
            </w:tcMar>
          </w:tcPr>
          <w:p>
            <w:r>
              <w:rPr>
                <w:rFonts w:ascii="Calibri" w:cs="Calibri" w:eastAsia="Calibri" w:hAnsi="Calibri"/>
                <w:color w:val="333333"/>
                <w:sz w:val="20"/>
                <w:szCs w:val="20"/>
              </w:rPr>
              <w:t xml:space="preserve">1,14,476</w:t>
            </w:r>
          </w:p>
        </w:tc>
      </w:tr>
      <w:tr>
        <w:tc>
          <w:tcPr>
            <w:tcW w:type="dxa" w:w="1200"/>
            <w:shd w:fill="FFFFFF" w:val="clear"/>
            <w:tcMar>
              <w:top w:type="dxa" w:w="80"/>
              <w:left w:type="dxa" w:w="100"/>
              <w:bottom w:type="dxa" w:w="80"/>
              <w:right w:type="dxa" w:w="100"/>
            </w:tcMar>
          </w:tcPr>
          <w:p>
            <w:r>
              <w:rPr>
                <w:rFonts w:ascii="Calibri" w:cs="Calibri" w:eastAsia="Calibri" w:hAnsi="Calibri"/>
                <w:color w:val="333333"/>
                <w:sz w:val="20"/>
                <w:szCs w:val="20"/>
              </w:rPr>
              <w:t xml:space="preserve">3</w:t>
            </w:r>
          </w:p>
        </w:tc>
        <w:tc>
          <w:tcPr>
            <w:tcW w:type="dxa" w:w="4700"/>
            <w:shd w:fill="FFFFFF" w:val="clear"/>
            <w:tcMar>
              <w:top w:type="dxa" w:w="80"/>
              <w:left w:type="dxa" w:w="100"/>
              <w:bottom w:type="dxa" w:w="80"/>
              <w:right w:type="dxa" w:w="100"/>
            </w:tcMar>
          </w:tcPr>
          <w:p>
            <w:r>
              <w:rPr>
                <w:rFonts w:ascii="Calibri" w:cs="Calibri" w:eastAsia="Calibri" w:hAnsi="Calibri"/>
                <w:color w:val="333333"/>
                <w:sz w:val="20"/>
                <w:szCs w:val="20"/>
              </w:rPr>
              <w:t xml:space="preserve">Dolores Gift</w:t>
            </w:r>
          </w:p>
        </w:tc>
        <w:tc>
          <w:tcPr>
            <w:tcW w:type="dxa" w:w="3450"/>
            <w:shd w:fill="FFFFFF" w:val="clear"/>
            <w:tcMar>
              <w:top w:type="dxa" w:w="80"/>
              <w:left w:type="dxa" w:w="100"/>
              <w:bottom w:type="dxa" w:w="80"/>
              <w:right w:type="dxa" w:w="100"/>
            </w:tcMar>
          </w:tcPr>
          <w:p>
            <w:r>
              <w:rPr>
                <w:rFonts w:ascii="Calibri" w:cs="Calibri" w:eastAsia="Calibri" w:hAnsi="Calibri"/>
                <w:color w:val="333333"/>
                <w:sz w:val="20"/>
                <w:szCs w:val="20"/>
              </w:rPr>
              <w:t xml:space="preserve">1,06,624</w:t>
            </w:r>
          </w:p>
        </w:tc>
      </w:tr>
      <w:tr>
        <w:tc>
          <w:tcPr>
            <w:tcW w:type="dxa" w:w="1200"/>
            <w:shd w:fill="F4F6F1" w:val="clear"/>
            <w:tcMar>
              <w:top w:type="dxa" w:w="80"/>
              <w:left w:type="dxa" w:w="100"/>
              <w:bottom w:type="dxa" w:w="80"/>
              <w:right w:type="dxa" w:w="100"/>
            </w:tcMar>
          </w:tcPr>
          <w:p>
            <w:r>
              <w:rPr>
                <w:rFonts w:ascii="Calibri" w:cs="Calibri" w:eastAsia="Calibri" w:hAnsi="Calibri"/>
                <w:color w:val="333333"/>
                <w:sz w:val="20"/>
                <w:szCs w:val="20"/>
              </w:rPr>
              <w:t xml:space="preserve">4</w:t>
            </w:r>
          </w:p>
        </w:tc>
        <w:tc>
          <w:tcPr>
            <w:tcW w:type="dxa" w:w="4700"/>
            <w:shd w:fill="F4F6F1" w:val="clear"/>
            <w:tcMar>
              <w:top w:type="dxa" w:w="80"/>
              <w:left w:type="dxa" w:w="100"/>
              <w:bottom w:type="dxa" w:w="80"/>
              <w:right w:type="dxa" w:w="100"/>
            </w:tcMar>
          </w:tcPr>
          <w:p>
            <w:r>
              <w:rPr>
                <w:rFonts w:ascii="Calibri" w:cs="Calibri" w:eastAsia="Calibri" w:hAnsi="Calibri"/>
                <w:color w:val="333333"/>
                <w:sz w:val="20"/>
                <w:szCs w:val="20"/>
              </w:rPr>
              <w:t xml:space="preserve">Harum Pack</w:t>
            </w:r>
          </w:p>
        </w:tc>
        <w:tc>
          <w:tcPr>
            <w:tcW w:type="dxa" w:w="3450"/>
            <w:shd w:fill="F4F6F1" w:val="clear"/>
            <w:tcMar>
              <w:top w:type="dxa" w:w="80"/>
              <w:left w:type="dxa" w:w="100"/>
              <w:bottom w:type="dxa" w:w="80"/>
              <w:right w:type="dxa" w:w="100"/>
            </w:tcMar>
          </w:tcPr>
          <w:p>
            <w:r>
              <w:rPr>
                <w:rFonts w:ascii="Calibri" w:cs="Calibri" w:eastAsia="Calibri" w:hAnsi="Calibri"/>
                <w:color w:val="333333"/>
                <w:sz w:val="20"/>
                <w:szCs w:val="20"/>
              </w:rPr>
              <w:t xml:space="preserve">1,01,556</w:t>
            </w:r>
          </w:p>
        </w:tc>
      </w:tr>
      <w:tr>
        <w:tc>
          <w:tcPr>
            <w:tcW w:type="dxa" w:w="1200"/>
            <w:shd w:fill="FFFFFF" w:val="clear"/>
            <w:tcMar>
              <w:top w:type="dxa" w:w="80"/>
              <w:left w:type="dxa" w:w="100"/>
              <w:bottom w:type="dxa" w:w="80"/>
              <w:right w:type="dxa" w:w="100"/>
            </w:tcMar>
          </w:tcPr>
          <w:p>
            <w:r>
              <w:rPr>
                <w:rFonts w:ascii="Calibri" w:cs="Calibri" w:eastAsia="Calibri" w:hAnsi="Calibri"/>
                <w:color w:val="333333"/>
                <w:sz w:val="20"/>
                <w:szCs w:val="20"/>
              </w:rPr>
              <w:t xml:space="preserve">5</w:t>
            </w:r>
          </w:p>
        </w:tc>
        <w:tc>
          <w:tcPr>
            <w:tcW w:type="dxa" w:w="4700"/>
            <w:shd w:fill="FFFFFF" w:val="clear"/>
            <w:tcMar>
              <w:top w:type="dxa" w:w="80"/>
              <w:left w:type="dxa" w:w="100"/>
              <w:bottom w:type="dxa" w:w="80"/>
              <w:right w:type="dxa" w:w="100"/>
            </w:tcMar>
          </w:tcPr>
          <w:p>
            <w:r>
              <w:rPr>
                <w:rFonts w:ascii="Calibri" w:cs="Calibri" w:eastAsia="Calibri" w:hAnsi="Calibri"/>
                <w:color w:val="333333"/>
                <w:sz w:val="20"/>
                <w:szCs w:val="20"/>
              </w:rPr>
              <w:t xml:space="preserve">Deserunt Box</w:t>
            </w:r>
          </w:p>
        </w:tc>
        <w:tc>
          <w:tcPr>
            <w:tcW w:type="dxa" w:w="3450"/>
            <w:shd w:fill="FFFFFF" w:val="clear"/>
            <w:tcMar>
              <w:top w:type="dxa" w:w="80"/>
              <w:left w:type="dxa" w:w="100"/>
              <w:bottom w:type="dxa" w:w="80"/>
              <w:right w:type="dxa" w:w="100"/>
            </w:tcMar>
          </w:tcPr>
          <w:p>
            <w:r>
              <w:rPr>
                <w:rFonts w:ascii="Calibri" w:cs="Calibri" w:eastAsia="Calibri" w:hAnsi="Calibri"/>
                <w:color w:val="333333"/>
                <w:sz w:val="20"/>
                <w:szCs w:val="20"/>
              </w:rPr>
              <w:t xml:space="preserve">97,665</w:t>
            </w:r>
          </w:p>
        </w:tc>
      </w:tr>
    </w:tbl>
    <w:p>
      <w:pPr>
        <w:spacing w:before="200"/>
      </w:pPr>
    </w:p>
    <w:p>
      <w:pPr>
        <w:spacing w:after="60" w:before="10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381250"/>
                    </a:xfrm>
                    <a:prstGeom prst="rect">
                      <a:avLst/>
                    </a:prstGeom>
                  </pic:spPr>
                </pic:pic>
              </a:graphicData>
            </a:graphic>
          </wp:inline>
        </w:drawing>
      </w:r>
    </w:p>
    <w:p>
      <w:pPr>
        <w:pStyle w:val="Heading1"/>
        <w:pBdr>
          <w:bottom w:val="single" w:color="8DC63F" w:sz="12" w:space="6"/>
        </w:pBdr>
        <w:spacing w:after="180" w:before="420"/>
      </w:pPr>
      <w:r>
        <w:rPr>
          <w:rFonts w:ascii="Calibri" w:cs="Calibri" w:eastAsia="Calibri" w:hAnsi="Calibri"/>
          <w:b/>
          <w:bCs/>
          <w:color w:val="8DC63F"/>
          <w:sz w:val="30"/>
          <w:szCs w:val="30"/>
        </w:rPr>
        <w:t xml:space="preserve">7  </w:t>
      </w:r>
      <w:r>
        <w:rPr>
          <w:rFonts w:ascii="Calibri" w:cs="Calibri" w:eastAsia="Calibri" w:hAnsi="Calibri"/>
          <w:b/>
          <w:bCs/>
          <w:color w:val="2B2B2B"/>
          <w:sz w:val="30"/>
          <w:szCs w:val="30"/>
        </w:rPr>
        <w:t xml:space="preserve">Customer Spending Analysis</w:t>
      </w:r>
    </w:p>
    <w:p>
      <w:pPr>
        <w:spacing w:after="140" w:line="300"/>
      </w:pPr>
      <w:r>
        <w:rPr>
          <w:rFonts w:ascii="Calibri" w:cs="Calibri" w:eastAsia="Calibri" w:hAnsi="Calibri"/>
          <w:color w:val="333333"/>
          <w:sz w:val="22"/>
          <w:szCs w:val="22"/>
        </w:rPr>
        <w:t xml:space="preserve">Across 100 unique customers, the average customer spend is ₹35,209.84, calculated by grouping total revenue by Customer_ID and averaging. This gives a baseline for customer lifetime value and can be used to identify high-value customers for loyalty or retention campaigns.</w:t>
      </w:r>
    </w:p>
    <w:p>
      <w:pPr>
        <w:pStyle w:val="Heading1"/>
        <w:pBdr>
          <w:bottom w:val="single" w:color="8DC63F" w:sz="12" w:space="6"/>
        </w:pBdr>
        <w:spacing w:after="180" w:before="420"/>
      </w:pPr>
      <w:r>
        <w:rPr>
          <w:rFonts w:ascii="Calibri" w:cs="Calibri" w:eastAsia="Calibri" w:hAnsi="Calibri"/>
          <w:b/>
          <w:bCs/>
          <w:color w:val="8DC63F"/>
          <w:sz w:val="30"/>
          <w:szCs w:val="30"/>
        </w:rPr>
        <w:t xml:space="preserve">8  </w:t>
      </w:r>
      <w:r>
        <w:rPr>
          <w:rFonts w:ascii="Calibri" w:cs="Calibri" w:eastAsia="Calibri" w:hAnsi="Calibri"/>
          <w:b/>
          <w:bCs/>
          <w:color w:val="2B2B2B"/>
          <w:sz w:val="30"/>
          <w:szCs w:val="30"/>
        </w:rPr>
        <w:t xml:space="preserve">Top 10 Cities by Number of Orders</w:t>
      </w:r>
    </w:p>
    <w:p>
      <w:pPr>
        <w:spacing w:after="140" w:line="300"/>
      </w:pPr>
      <w:r>
        <w:rPr>
          <w:rFonts w:ascii="Calibri" w:cs="Calibri" w:eastAsia="Calibri" w:hAnsi="Calibri"/>
          <w:color w:val="333333"/>
          <w:sz w:val="22"/>
          <w:szCs w:val="22"/>
        </w:rPr>
        <w:t xml:space="preserve">Order volume is spread fairly evenly across cities rather than concentrated in metros — Bareilly and Ghaziabad lead with 9 orders each, followed by Bhilai (8), and several cities tied at 7.</w:t>
      </w:r>
    </w:p>
    <w:p>
      <w:pPr>
        <w:spacing w:after="60" w:before="100"/>
        <w:jc w:val="center"/>
      </w:pPr>
      <w:r>
        <w:drawing>
          <wp:inline distT="0" distB="0" distL="0" distR="0">
            <wp:extent cx="5334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24125"/>
                    </a:xfrm>
                    <a:prstGeom prst="rect">
                      <a:avLst/>
                    </a:prstGeom>
                  </pic:spPr>
                </pic:pic>
              </a:graphicData>
            </a:graphic>
          </wp:inline>
        </w:drawing>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8DC63F" w:sz="4"/>
              <w:left w:val="single" w:color="8DC63F" w:sz="24"/>
              <w:bottom w:val="single" w:color="8DC63F" w:sz="4"/>
              <w:right w:val="single" w:color="8DC63F" w:sz="4"/>
            </w:tcBorders>
            <w:shd w:fill="F4F6F1" w:val="clear"/>
            <w:tcMar>
              <w:top w:type="dxa" w:w="160"/>
              <w:left w:type="dxa" w:w="200"/>
              <w:bottom w:type="dxa" w:w="160"/>
              <w:right w:type="dxa" w:w="200"/>
            </w:tcMar>
          </w:tcPr>
          <w:p>
            <w:r>
              <w:rPr>
                <w:rFonts w:ascii="Calibri" w:cs="Calibri" w:eastAsia="Calibri" w:hAnsi="Calibri"/>
                <w:b/>
                <w:bCs/>
                <w:color w:val="3F6B17"/>
                <w:sz w:val="21"/>
                <w:szCs w:val="21"/>
              </w:rPr>
              <w:t xml:space="preserve">💡 Insight:  </w:t>
            </w:r>
            <w:r>
              <w:rPr>
                <w:rFonts w:ascii="Calibri" w:cs="Calibri" w:eastAsia="Calibri" w:hAnsi="Calibri"/>
                <w:color w:val="333333"/>
                <w:sz w:val="21"/>
                <w:szCs w:val="21"/>
              </w:rPr>
              <w:t xml:space="preserve">Unlike typical e-commerce patterns dominated by Tier-1 metros, FNP's order base spans Tier-2/3 cities — logistics and delivery-partner planning should account for this wider geographic footprint.</w:t>
            </w:r>
          </w:p>
        </w:tc>
      </w:tr>
    </w:tbl>
    <w:p>
      <w:pPr>
        <w:pStyle w:val="Heading1"/>
        <w:pBdr>
          <w:bottom w:val="single" w:color="8DC63F" w:sz="12" w:space="6"/>
        </w:pBdr>
        <w:spacing w:after="180" w:before="420"/>
      </w:pPr>
      <w:r>
        <w:rPr>
          <w:rFonts w:ascii="Calibri" w:cs="Calibri" w:eastAsia="Calibri" w:hAnsi="Calibri"/>
          <w:b/>
          <w:bCs/>
          <w:color w:val="8DC63F"/>
          <w:sz w:val="30"/>
          <w:szCs w:val="30"/>
        </w:rPr>
        <w:t xml:space="preserve">9  </w:t>
      </w:r>
      <w:r>
        <w:rPr>
          <w:rFonts w:ascii="Calibri" w:cs="Calibri" w:eastAsia="Calibri" w:hAnsi="Calibri"/>
          <w:b/>
          <w:bCs/>
          <w:color w:val="2B2B2B"/>
          <w:sz w:val="30"/>
          <w:szCs w:val="30"/>
        </w:rPr>
        <w:t xml:space="preserve">Order Quantity vs. Delivery Time</w:t>
      </w:r>
    </w:p>
    <w:p>
      <w:pPr>
        <w:spacing w:after="60" w:before="100"/>
        <w:jc w:val="center"/>
      </w:pPr>
      <w:r>
        <w:drawing>
          <wp:inline distT="0" distB="0" distL="0" distR="0">
            <wp:extent cx="4381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524125"/>
                    </a:xfrm>
                    <a:prstGeom prst="rect">
                      <a:avLst/>
                    </a:prstGeom>
                  </pic:spPr>
                </pic:pic>
              </a:graphicData>
            </a:graphic>
          </wp:inline>
        </w:drawing>
      </w:r>
    </w:p>
    <w:p>
      <w:pPr>
        <w:spacing w:after="140" w:line="300"/>
      </w:pPr>
      <w:r>
        <w:rPr>
          <w:rFonts w:ascii="Calibri" w:cs="Calibri" w:eastAsia="Calibri" w:hAnsi="Calibri"/>
          <w:color w:val="333333"/>
          <w:sz w:val="22"/>
          <w:szCs w:val="22"/>
        </w:rPr>
        <w:t xml:space="preserve">A correlation analysis between Quantity and Delivery_Days returns a coefficient of approximately 0.003 — effectively zero. Average delivery time stays within a tight 5.25–5.83 day band regardless of order size (1 to 5 units).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8DC63F" w:sz="4"/>
              <w:left w:val="single" w:color="8DC63F" w:sz="24"/>
              <w:bottom w:val="single" w:color="8DC63F" w:sz="4"/>
              <w:right w:val="single" w:color="8DC63F" w:sz="4"/>
            </w:tcBorders>
            <w:shd w:fill="F4F6F1" w:val="clear"/>
            <w:tcMar>
              <w:top w:type="dxa" w:w="160"/>
              <w:left w:type="dxa" w:w="200"/>
              <w:bottom w:type="dxa" w:w="160"/>
              <w:right w:type="dxa" w:w="200"/>
            </w:tcMar>
          </w:tcPr>
          <w:p>
            <w:r>
              <w:rPr>
                <w:rFonts w:ascii="Calibri" w:cs="Calibri" w:eastAsia="Calibri" w:hAnsi="Calibri"/>
                <w:b/>
                <w:bCs/>
                <w:color w:val="3F6B17"/>
                <w:sz w:val="21"/>
                <w:szCs w:val="21"/>
              </w:rPr>
              <w:t xml:space="preserve">💡 Insight:  </w:t>
            </w:r>
            <w:r>
              <w:rPr>
                <w:rFonts w:ascii="Calibri" w:cs="Calibri" w:eastAsia="Calibri" w:hAnsi="Calibri"/>
                <w:color w:val="333333"/>
                <w:sz w:val="21"/>
                <w:szCs w:val="21"/>
              </w:rPr>
              <w:t xml:space="preserve">Order quantity does NOT meaningfully impact delivery time. Delivery duration is more likely driven by destination city, courier partner, or order timing than by order size.</w:t>
            </w:r>
          </w:p>
        </w:tc>
      </w:tr>
    </w:tbl>
    <w:p>
      <w:pPr>
        <w:pStyle w:val="Heading1"/>
        <w:pBdr>
          <w:bottom w:val="single" w:color="8DC63F" w:sz="12" w:space="6"/>
        </w:pBdr>
        <w:spacing w:after="180" w:before="420"/>
      </w:pPr>
      <w:r>
        <w:rPr>
          <w:rFonts w:ascii="Calibri" w:cs="Calibri" w:eastAsia="Calibri" w:hAnsi="Calibri"/>
          <w:b/>
          <w:bCs/>
          <w:color w:val="8DC63F"/>
          <w:sz w:val="30"/>
          <w:szCs w:val="30"/>
        </w:rPr>
        <w:t xml:space="preserve">10  </w:t>
      </w:r>
      <w:r>
        <w:rPr>
          <w:rFonts w:ascii="Calibri" w:cs="Calibri" w:eastAsia="Calibri" w:hAnsi="Calibri"/>
          <w:b/>
          <w:bCs/>
          <w:color w:val="2B2B2B"/>
          <w:sz w:val="30"/>
          <w:szCs w:val="30"/>
        </w:rPr>
        <w:t xml:space="preserve">Revenue Comparison Between Occasions</w:t>
      </w:r>
    </w:p>
    <w:p>
      <w:pPr>
        <w:spacing w:after="60" w:before="100"/>
        <w:jc w:val="center"/>
      </w:pPr>
      <w:r>
        <w:drawing>
          <wp:inline distT="0" distB="0" distL="0" distR="0">
            <wp:extent cx="5334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24125"/>
                    </a:xfrm>
                    <a:prstGeom prst="rect">
                      <a:avLst/>
                    </a:prstGeom>
                  </pic:spPr>
                </pic:pic>
              </a:graphicData>
            </a:graphic>
          </wp:inline>
        </w:drawing>
      </w:r>
    </w:p>
    <w:p>
      <w:pPr>
        <w:spacing w:after="140" w:line="300"/>
      </w:pPr>
      <w:r>
        <w:rPr>
          <w:rFonts w:ascii="Calibri" w:cs="Calibri" w:eastAsia="Calibri" w:hAnsi="Calibri"/>
          <w:color w:val="333333"/>
          <w:sz w:val="22"/>
          <w:szCs w:val="22"/>
        </w:rPr>
        <w:t xml:space="preserve">Anniversary (₹6,74,634) and Raksha Bandhan (₹6,31,585) are the highest-revenue occasions, followed by Holi (₹5,74,682). Diwali (₹3,13,783) and Valentine's Day (₹3,31,930) generate comparatively lower revenue despite being high-profile gifting occasions.</w:t>
      </w:r>
    </w:p>
    <w:p>
      <w:pPr>
        <w:pStyle w:val="Heading1"/>
        <w:pBdr>
          <w:bottom w:val="single" w:color="8DC63F" w:sz="12" w:space="6"/>
        </w:pBdr>
        <w:spacing w:after="180" w:before="420"/>
      </w:pPr>
      <w:r>
        <w:rPr>
          <w:rFonts w:ascii="Calibri" w:cs="Calibri" w:eastAsia="Calibri" w:hAnsi="Calibri"/>
          <w:b/>
          <w:bCs/>
          <w:color w:val="8DC63F"/>
          <w:sz w:val="30"/>
          <w:szCs w:val="30"/>
        </w:rPr>
        <w:t xml:space="preserve">11  </w:t>
      </w:r>
      <w:r>
        <w:rPr>
          <w:rFonts w:ascii="Calibri" w:cs="Calibri" w:eastAsia="Calibri" w:hAnsi="Calibri"/>
          <w:b/>
          <w:bCs/>
          <w:color w:val="2B2B2B"/>
          <w:sz w:val="30"/>
          <w:szCs w:val="30"/>
        </w:rPr>
        <w:t xml:space="preserve">Product Popularity by Occasion</w:t>
      </w:r>
    </w:p>
    <w:p>
      <w:pPr>
        <w:spacing w:after="140" w:line="300"/>
      </w:pPr>
      <w:r>
        <w:rPr>
          <w:rFonts w:ascii="Calibri" w:cs="Calibri" w:eastAsia="Calibri" w:hAnsi="Calibri"/>
          <w:color w:val="333333"/>
          <w:sz w:val="22"/>
          <w:szCs w:val="22"/>
        </w:rPr>
        <w:t xml:space="preserve">The best-selling product differs by occasion, showing that customer preferences are occasion-specific rather than uniform:</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7"/>
      </w:tblGrid>
      <w:tr>
        <w:trPr>
          <w:tblHeader/>
        </w:trPr>
        <w:tc>
          <w:tcPr>
            <w:tcW w:type="dxa" w:w="3117"/>
            <w:shd w:fill="3F6B17"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Occasion</w:t>
            </w:r>
          </w:p>
        </w:tc>
        <w:tc>
          <w:tcPr>
            <w:tcW w:type="dxa" w:w="3117"/>
            <w:shd w:fill="3F6B17"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Top Product</w:t>
            </w:r>
          </w:p>
        </w:tc>
        <w:tc>
          <w:tcPr>
            <w:tcW w:type="dxa" w:w="3117"/>
            <w:shd w:fill="3F6B17"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Revenue (₹)</w:t>
            </w:r>
          </w:p>
        </w:tc>
      </w:tr>
      <w:tr>
        <w:tc>
          <w:tcPr>
            <w:tcW w:type="dxa" w:w="3117"/>
            <w:shd w:fill="FFFFFF" w:val="clear"/>
            <w:tcMar>
              <w:top w:type="dxa" w:w="80"/>
              <w:left w:type="dxa" w:w="100"/>
              <w:bottom w:type="dxa" w:w="80"/>
              <w:right w:type="dxa" w:w="100"/>
            </w:tcMar>
          </w:tcPr>
          <w:p>
            <w:r>
              <w:rPr>
                <w:rFonts w:ascii="Calibri" w:cs="Calibri" w:eastAsia="Calibri" w:hAnsi="Calibri"/>
                <w:color w:val="333333"/>
                <w:sz w:val="20"/>
                <w:szCs w:val="20"/>
              </w:rPr>
              <w:t xml:space="preserve">Raksha Bandhan</w:t>
            </w:r>
          </w:p>
        </w:tc>
        <w:tc>
          <w:tcPr>
            <w:tcW w:type="dxa" w:w="3117"/>
            <w:shd w:fill="FFFFFF" w:val="clear"/>
            <w:tcMar>
              <w:top w:type="dxa" w:w="80"/>
              <w:left w:type="dxa" w:w="100"/>
              <w:bottom w:type="dxa" w:w="80"/>
              <w:right w:type="dxa" w:w="100"/>
            </w:tcMar>
          </w:tcPr>
          <w:p>
            <w:r>
              <w:rPr>
                <w:rFonts w:ascii="Calibri" w:cs="Calibri" w:eastAsia="Calibri" w:hAnsi="Calibri"/>
                <w:color w:val="333333"/>
                <w:sz w:val="20"/>
                <w:szCs w:val="20"/>
              </w:rPr>
              <w:t xml:space="preserve">Dolores Gift</w:t>
            </w:r>
          </w:p>
        </w:tc>
        <w:tc>
          <w:tcPr>
            <w:tcW w:type="dxa" w:w="3117"/>
            <w:shd w:fill="FFFFFF" w:val="clear"/>
            <w:tcMar>
              <w:top w:type="dxa" w:w="80"/>
              <w:left w:type="dxa" w:w="100"/>
              <w:bottom w:type="dxa" w:w="80"/>
              <w:right w:type="dxa" w:w="100"/>
            </w:tcMar>
          </w:tcPr>
          <w:p>
            <w:r>
              <w:rPr>
                <w:rFonts w:ascii="Calibri" w:cs="Calibri" w:eastAsia="Calibri" w:hAnsi="Calibri"/>
                <w:color w:val="333333"/>
                <w:sz w:val="20"/>
                <w:szCs w:val="20"/>
              </w:rPr>
              <w:t xml:space="preserve">1,06,624</w:t>
            </w:r>
          </w:p>
        </w:tc>
      </w:tr>
      <w:tr>
        <w:tc>
          <w:tcPr>
            <w:tcW w:type="dxa" w:w="3117"/>
            <w:shd w:fill="F4F6F1" w:val="clear"/>
            <w:tcMar>
              <w:top w:type="dxa" w:w="80"/>
              <w:left w:type="dxa" w:w="100"/>
              <w:bottom w:type="dxa" w:w="80"/>
              <w:right w:type="dxa" w:w="100"/>
            </w:tcMar>
          </w:tcPr>
          <w:p>
            <w:r>
              <w:rPr>
                <w:rFonts w:ascii="Calibri" w:cs="Calibri" w:eastAsia="Calibri" w:hAnsi="Calibri"/>
                <w:color w:val="333333"/>
                <w:sz w:val="20"/>
                <w:szCs w:val="20"/>
              </w:rPr>
              <w:t xml:space="preserve">Holi</w:t>
            </w:r>
          </w:p>
        </w:tc>
        <w:tc>
          <w:tcPr>
            <w:tcW w:type="dxa" w:w="3117"/>
            <w:shd w:fill="F4F6F1" w:val="clear"/>
            <w:tcMar>
              <w:top w:type="dxa" w:w="80"/>
              <w:left w:type="dxa" w:w="100"/>
              <w:bottom w:type="dxa" w:w="80"/>
              <w:right w:type="dxa" w:w="100"/>
            </w:tcMar>
          </w:tcPr>
          <w:p>
            <w:r>
              <w:rPr>
                <w:rFonts w:ascii="Calibri" w:cs="Calibri" w:eastAsia="Calibri" w:hAnsi="Calibri"/>
                <w:color w:val="333333"/>
                <w:sz w:val="20"/>
                <w:szCs w:val="20"/>
              </w:rPr>
              <w:t xml:space="preserve">Harum Pack</w:t>
            </w:r>
          </w:p>
        </w:tc>
        <w:tc>
          <w:tcPr>
            <w:tcW w:type="dxa" w:w="3117"/>
            <w:shd w:fill="F4F6F1" w:val="clear"/>
            <w:tcMar>
              <w:top w:type="dxa" w:w="80"/>
              <w:left w:type="dxa" w:w="100"/>
              <w:bottom w:type="dxa" w:w="80"/>
              <w:right w:type="dxa" w:w="100"/>
            </w:tcMar>
          </w:tcPr>
          <w:p>
            <w:r>
              <w:rPr>
                <w:rFonts w:ascii="Calibri" w:cs="Calibri" w:eastAsia="Calibri" w:hAnsi="Calibri"/>
                <w:color w:val="333333"/>
                <w:sz w:val="20"/>
                <w:szCs w:val="20"/>
              </w:rPr>
              <w:t xml:space="preserve">1,01,556</w:t>
            </w:r>
          </w:p>
        </w:tc>
      </w:tr>
      <w:tr>
        <w:tc>
          <w:tcPr>
            <w:tcW w:type="dxa" w:w="3117"/>
            <w:shd w:fill="FFFFFF" w:val="clear"/>
            <w:tcMar>
              <w:top w:type="dxa" w:w="80"/>
              <w:left w:type="dxa" w:w="100"/>
              <w:bottom w:type="dxa" w:w="80"/>
              <w:right w:type="dxa" w:w="100"/>
            </w:tcMar>
          </w:tcPr>
          <w:p>
            <w:r>
              <w:rPr>
                <w:rFonts w:ascii="Calibri" w:cs="Calibri" w:eastAsia="Calibri" w:hAnsi="Calibri"/>
                <w:color w:val="333333"/>
                <w:sz w:val="20"/>
                <w:szCs w:val="20"/>
              </w:rPr>
              <w:t xml:space="preserve">Birthday</w:t>
            </w:r>
          </w:p>
        </w:tc>
        <w:tc>
          <w:tcPr>
            <w:tcW w:type="dxa" w:w="3117"/>
            <w:shd w:fill="FFFFFF" w:val="clear"/>
            <w:tcMar>
              <w:top w:type="dxa" w:w="80"/>
              <w:left w:type="dxa" w:w="100"/>
              <w:bottom w:type="dxa" w:w="80"/>
              <w:right w:type="dxa" w:w="100"/>
            </w:tcMar>
          </w:tcPr>
          <w:p>
            <w:r>
              <w:rPr>
                <w:rFonts w:ascii="Calibri" w:cs="Calibri" w:eastAsia="Calibri" w:hAnsi="Calibri"/>
                <w:color w:val="333333"/>
                <w:sz w:val="20"/>
                <w:szCs w:val="20"/>
              </w:rPr>
              <w:t xml:space="preserve">Deserunt Box</w:t>
            </w:r>
          </w:p>
        </w:tc>
        <w:tc>
          <w:tcPr>
            <w:tcW w:type="dxa" w:w="3117"/>
            <w:shd w:fill="FFFFFF" w:val="clear"/>
            <w:tcMar>
              <w:top w:type="dxa" w:w="80"/>
              <w:left w:type="dxa" w:w="100"/>
              <w:bottom w:type="dxa" w:w="80"/>
              <w:right w:type="dxa" w:w="100"/>
            </w:tcMar>
          </w:tcPr>
          <w:p>
            <w:r>
              <w:rPr>
                <w:rFonts w:ascii="Calibri" w:cs="Calibri" w:eastAsia="Calibri" w:hAnsi="Calibri"/>
                <w:color w:val="333333"/>
                <w:sz w:val="20"/>
                <w:szCs w:val="20"/>
              </w:rPr>
              <w:t xml:space="preserve">97,665</w:t>
            </w:r>
          </w:p>
        </w:tc>
      </w:tr>
      <w:tr>
        <w:tc>
          <w:tcPr>
            <w:tcW w:type="dxa" w:w="3117"/>
            <w:shd w:fill="F4F6F1" w:val="clear"/>
            <w:tcMar>
              <w:top w:type="dxa" w:w="80"/>
              <w:left w:type="dxa" w:w="100"/>
              <w:bottom w:type="dxa" w:w="80"/>
              <w:right w:type="dxa" w:w="100"/>
            </w:tcMar>
          </w:tcPr>
          <w:p>
            <w:r>
              <w:rPr>
                <w:rFonts w:ascii="Calibri" w:cs="Calibri" w:eastAsia="Calibri" w:hAnsi="Calibri"/>
                <w:color w:val="333333"/>
                <w:sz w:val="20"/>
                <w:szCs w:val="20"/>
              </w:rPr>
              <w:t xml:space="preserve">Anniversary</w:t>
            </w:r>
          </w:p>
        </w:tc>
        <w:tc>
          <w:tcPr>
            <w:tcW w:type="dxa" w:w="3117"/>
            <w:shd w:fill="F4F6F1" w:val="clear"/>
            <w:tcMar>
              <w:top w:type="dxa" w:w="80"/>
              <w:left w:type="dxa" w:w="100"/>
              <w:bottom w:type="dxa" w:w="80"/>
              <w:right w:type="dxa" w:w="100"/>
            </w:tcMar>
          </w:tcPr>
          <w:p>
            <w:r>
              <w:rPr>
                <w:rFonts w:ascii="Calibri" w:cs="Calibri" w:eastAsia="Calibri" w:hAnsi="Calibri"/>
                <w:color w:val="333333"/>
                <w:sz w:val="20"/>
                <w:szCs w:val="20"/>
              </w:rPr>
              <w:t xml:space="preserve">Dignissimos Pack</w:t>
            </w:r>
          </w:p>
        </w:tc>
        <w:tc>
          <w:tcPr>
            <w:tcW w:type="dxa" w:w="3117"/>
            <w:shd w:fill="F4F6F1" w:val="clear"/>
            <w:tcMar>
              <w:top w:type="dxa" w:w="80"/>
              <w:left w:type="dxa" w:w="100"/>
              <w:bottom w:type="dxa" w:w="80"/>
              <w:right w:type="dxa" w:w="100"/>
            </w:tcMar>
          </w:tcPr>
          <w:p>
            <w:r>
              <w:rPr>
                <w:rFonts w:ascii="Calibri" w:cs="Calibri" w:eastAsia="Calibri" w:hAnsi="Calibri"/>
                <w:color w:val="333333"/>
                <w:sz w:val="20"/>
                <w:szCs w:val="20"/>
              </w:rPr>
              <w:t xml:space="preserve">90,036</w:t>
            </w:r>
          </w:p>
        </w:tc>
      </w:tr>
      <w:tr>
        <w:tc>
          <w:tcPr>
            <w:tcW w:type="dxa" w:w="3117"/>
            <w:shd w:fill="FFFFFF" w:val="clear"/>
            <w:tcMar>
              <w:top w:type="dxa" w:w="80"/>
              <w:left w:type="dxa" w:w="100"/>
              <w:bottom w:type="dxa" w:w="80"/>
              <w:right w:type="dxa" w:w="100"/>
            </w:tcMar>
          </w:tcPr>
          <w:p>
            <w:r>
              <w:rPr>
                <w:rFonts w:ascii="Calibri" w:cs="Calibri" w:eastAsia="Calibri" w:hAnsi="Calibri"/>
                <w:color w:val="333333"/>
                <w:sz w:val="20"/>
                <w:szCs w:val="20"/>
              </w:rPr>
              <w:t xml:space="preserve">Valentine's Day</w:t>
            </w:r>
          </w:p>
        </w:tc>
        <w:tc>
          <w:tcPr>
            <w:tcW w:type="dxa" w:w="3117"/>
            <w:shd w:fill="FFFFFF" w:val="clear"/>
            <w:tcMar>
              <w:top w:type="dxa" w:w="80"/>
              <w:left w:type="dxa" w:w="100"/>
              <w:bottom w:type="dxa" w:w="80"/>
              <w:right w:type="dxa" w:w="100"/>
            </w:tcMar>
          </w:tcPr>
          <w:p>
            <w:r>
              <w:rPr>
                <w:rFonts w:ascii="Calibri" w:cs="Calibri" w:eastAsia="Calibri" w:hAnsi="Calibri"/>
                <w:color w:val="333333"/>
                <w:sz w:val="20"/>
                <w:szCs w:val="20"/>
              </w:rPr>
              <w:t xml:space="preserve">Eius Gift</w:t>
            </w:r>
          </w:p>
        </w:tc>
        <w:tc>
          <w:tcPr>
            <w:tcW w:type="dxa" w:w="3117"/>
            <w:shd w:fill="FFFFFF" w:val="clear"/>
            <w:tcMar>
              <w:top w:type="dxa" w:w="80"/>
              <w:left w:type="dxa" w:w="100"/>
              <w:bottom w:type="dxa" w:w="80"/>
              <w:right w:type="dxa" w:w="100"/>
            </w:tcMar>
          </w:tcPr>
          <w:p>
            <w:r>
              <w:rPr>
                <w:rFonts w:ascii="Calibri" w:cs="Calibri" w:eastAsia="Calibri" w:hAnsi="Calibri"/>
                <w:color w:val="333333"/>
                <w:sz w:val="20"/>
                <w:szCs w:val="20"/>
              </w:rPr>
              <w:t xml:space="preserve">85,904</w:t>
            </w:r>
          </w:p>
        </w:tc>
      </w:tr>
      <w:tr>
        <w:tc>
          <w:tcPr>
            <w:tcW w:type="dxa" w:w="3117"/>
            <w:shd w:fill="F4F6F1" w:val="clear"/>
            <w:tcMar>
              <w:top w:type="dxa" w:w="80"/>
              <w:left w:type="dxa" w:w="100"/>
              <w:bottom w:type="dxa" w:w="80"/>
              <w:right w:type="dxa" w:w="100"/>
            </w:tcMar>
          </w:tcPr>
          <w:p>
            <w:r>
              <w:rPr>
                <w:rFonts w:ascii="Calibri" w:cs="Calibri" w:eastAsia="Calibri" w:hAnsi="Calibri"/>
                <w:color w:val="333333"/>
                <w:sz w:val="20"/>
                <w:szCs w:val="20"/>
              </w:rPr>
              <w:t xml:space="preserve">Diwali</w:t>
            </w:r>
          </w:p>
        </w:tc>
        <w:tc>
          <w:tcPr>
            <w:tcW w:type="dxa" w:w="3117"/>
            <w:shd w:fill="F4F6F1" w:val="clear"/>
            <w:tcMar>
              <w:top w:type="dxa" w:w="80"/>
              <w:left w:type="dxa" w:w="100"/>
              <w:bottom w:type="dxa" w:w="80"/>
              <w:right w:type="dxa" w:w="100"/>
            </w:tcMar>
          </w:tcPr>
          <w:p>
            <w:r>
              <w:rPr>
                <w:rFonts w:ascii="Calibri" w:cs="Calibri" w:eastAsia="Calibri" w:hAnsi="Calibri"/>
                <w:color w:val="333333"/>
                <w:sz w:val="20"/>
                <w:szCs w:val="20"/>
              </w:rPr>
              <w:t xml:space="preserve">Aut Box</w:t>
            </w:r>
          </w:p>
        </w:tc>
        <w:tc>
          <w:tcPr>
            <w:tcW w:type="dxa" w:w="3117"/>
            <w:shd w:fill="F4F6F1" w:val="clear"/>
            <w:tcMar>
              <w:top w:type="dxa" w:w="80"/>
              <w:left w:type="dxa" w:w="100"/>
              <w:bottom w:type="dxa" w:w="80"/>
              <w:right w:type="dxa" w:w="100"/>
            </w:tcMar>
          </w:tcPr>
          <w:p>
            <w:r>
              <w:rPr>
                <w:rFonts w:ascii="Calibri" w:cs="Calibri" w:eastAsia="Calibri" w:hAnsi="Calibri"/>
                <w:color w:val="333333"/>
                <w:sz w:val="20"/>
                <w:szCs w:val="20"/>
              </w:rPr>
              <w:t xml:space="preserve">81,057</w:t>
            </w:r>
          </w:p>
        </w:tc>
      </w:tr>
    </w:tbl>
    <w:p>
      <w:pPr>
        <w:spacing w:before="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8DC63F" w:sz="4"/>
              <w:left w:val="single" w:color="8DC63F" w:sz="24"/>
              <w:bottom w:val="single" w:color="8DC63F" w:sz="4"/>
              <w:right w:val="single" w:color="8DC63F" w:sz="4"/>
            </w:tcBorders>
            <w:shd w:fill="F4F6F1" w:val="clear"/>
            <w:tcMar>
              <w:top w:type="dxa" w:w="160"/>
              <w:left w:type="dxa" w:w="200"/>
              <w:bottom w:type="dxa" w:w="160"/>
              <w:right w:type="dxa" w:w="200"/>
            </w:tcMar>
          </w:tcPr>
          <w:p>
            <w:r>
              <w:rPr>
                <w:rFonts w:ascii="Calibri" w:cs="Calibri" w:eastAsia="Calibri" w:hAnsi="Calibri"/>
                <w:b/>
                <w:bCs/>
                <w:color w:val="3F6B17"/>
                <w:sz w:val="21"/>
                <w:szCs w:val="21"/>
              </w:rPr>
              <w:t xml:space="preserve">💡 Insight:  </w:t>
            </w:r>
            <w:r>
              <w:rPr>
                <w:rFonts w:ascii="Calibri" w:cs="Calibri" w:eastAsia="Calibri" w:hAnsi="Calibri"/>
                <w:color w:val="333333"/>
                <w:sz w:val="21"/>
                <w:szCs w:val="21"/>
              </w:rPr>
              <w:t xml:space="preserve">Curating occasion-specific product bundles around these top performers could lift conversion for each seasonal campaign.</w:t>
            </w:r>
          </w:p>
        </w:tc>
      </w:tr>
    </w:tbl>
    <w:p>
      <w:pPr>
        <w:pStyle w:val="Heading1"/>
        <w:pBdr>
          <w:bottom w:val="single" w:color="8DC63F" w:sz="12" w:space="6"/>
        </w:pBdr>
        <w:spacing w:after="180" w:before="420"/>
      </w:pPr>
      <w:r>
        <w:rPr>
          <w:rFonts w:ascii="Calibri" w:cs="Calibri" w:eastAsia="Calibri" w:hAnsi="Calibri"/>
          <w:b/>
          <w:bCs/>
          <w:color w:val="8DC63F"/>
          <w:sz w:val="30"/>
          <w:szCs w:val="30"/>
        </w:rPr>
        <w:t xml:space="preserve">12  </w:t>
      </w:r>
      <w:r>
        <w:rPr>
          <w:rFonts w:ascii="Calibri" w:cs="Calibri" w:eastAsia="Calibri" w:hAnsi="Calibri"/>
          <w:b/>
          <w:bCs/>
          <w:color w:val="2B2B2B"/>
          <w:sz w:val="30"/>
          <w:szCs w:val="30"/>
        </w:rPr>
        <w:t xml:space="preserve">Category-Level View</w:t>
      </w:r>
    </w:p>
    <w:p>
      <w:pPr>
        <w:spacing w:after="140" w:line="300"/>
      </w:pPr>
      <w:r>
        <w:rPr>
          <w:rFonts w:ascii="Calibri" w:cs="Calibri" w:eastAsia="Calibri" w:hAnsi="Calibri"/>
          <w:color w:val="333333"/>
          <w:sz w:val="22"/>
          <w:szCs w:val="22"/>
        </w:rPr>
        <w:t xml:space="preserve">Colors (₹10,05,645), Soft Toys (₹7,40,831), and Sweets (₹7,33,842) are the top three revenue-generating categories, together contributing over 70% of total revenue.</w:t>
      </w:r>
    </w:p>
    <w:p>
      <w:pPr>
        <w:spacing w:after="60" w:before="100"/>
        <w:jc w:val="center"/>
      </w:pPr>
      <w:r>
        <w:drawing>
          <wp:inline distT="0" distB="0" distL="0" distR="0">
            <wp:extent cx="5334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24125"/>
                    </a:xfrm>
                    <a:prstGeom prst="rect">
                      <a:avLst/>
                    </a:prstGeom>
                  </pic:spPr>
                </pic:pic>
              </a:graphicData>
            </a:graphic>
          </wp:inline>
        </w:drawing>
      </w:r>
    </w:p>
    <w:p>
      <w:pPr>
        <w:pStyle w:val="Heading1"/>
        <w:pBdr>
          <w:bottom w:val="single" w:color="8DC63F" w:sz="12" w:space="6"/>
        </w:pBdr>
        <w:spacing w:after="180" w:before="420"/>
      </w:pPr>
      <w:r>
        <w:rPr>
          <w:rFonts w:ascii="Calibri" w:cs="Calibri" w:eastAsia="Calibri" w:hAnsi="Calibri"/>
          <w:b/>
          <w:bCs/>
          <w:color w:val="8DC63F"/>
          <w:sz w:val="30"/>
          <w:szCs w:val="30"/>
        </w:rPr>
        <w:t xml:space="preserve">13  </w:t>
      </w:r>
      <w:r>
        <w:rPr>
          <w:rFonts w:ascii="Calibri" w:cs="Calibri" w:eastAsia="Calibri" w:hAnsi="Calibri"/>
          <w:b/>
          <w:bCs/>
          <w:color w:val="2B2B2B"/>
          <w:sz w:val="30"/>
          <w:szCs w:val="30"/>
        </w:rPr>
        <w:t xml:space="preserve">Recommendations</w:t>
      </w:r>
    </w:p>
    <w:p>
      <w:pPr>
        <w:pStyle w:val="ListParagraph"/>
        <w:numPr>
          <w:ilvl w:val="0"/>
          <w:numId w:val="1"/>
        </w:numPr>
        <w:spacing w:after="90" w:line="280"/>
      </w:pPr>
      <w:r>
        <w:rPr>
          <w:rFonts w:ascii="Calibri" w:cs="Calibri" w:eastAsia="Calibri" w:hAnsi="Calibri"/>
          <w:color w:val="333333"/>
          <w:sz w:val="22"/>
          <w:szCs w:val="22"/>
        </w:rPr>
        <w:t xml:space="preserve">Ramp up inventory and marketing spend ahead of February and August, the clear seasonal revenue peaks.</w:t>
      </w:r>
    </w:p>
    <w:p>
      <w:pPr>
        <w:pStyle w:val="ListParagraph"/>
        <w:numPr>
          <w:ilvl w:val="0"/>
          <w:numId w:val="1"/>
        </w:numPr>
        <w:spacing w:after="90" w:line="280"/>
      </w:pPr>
      <w:r>
        <w:rPr>
          <w:rFonts w:ascii="Calibri" w:cs="Calibri" w:eastAsia="Calibri" w:hAnsi="Calibri"/>
          <w:color w:val="333333"/>
          <w:sz w:val="22"/>
          <w:szCs w:val="22"/>
        </w:rPr>
        <w:t xml:space="preserve">Protect stock availability for the top 5 hero products (Magnam Set, Quia Gift, Dolores Gift, Harum Pack, Deserunt Box).</w:t>
      </w:r>
    </w:p>
    <w:p>
      <w:pPr>
        <w:pStyle w:val="ListParagraph"/>
        <w:numPr>
          <w:ilvl w:val="0"/>
          <w:numId w:val="1"/>
        </w:numPr>
        <w:spacing w:after="90" w:line="280"/>
      </w:pPr>
      <w:r>
        <w:rPr>
          <w:rFonts w:ascii="Calibri" w:cs="Calibri" w:eastAsia="Calibri" w:hAnsi="Calibri"/>
          <w:color w:val="333333"/>
          <w:sz w:val="22"/>
          <w:szCs w:val="22"/>
        </w:rPr>
        <w:t xml:space="preserve">Since delivery time doesn't vary with order quantity, investigate city/courier-level delivery data to reduce the 5.53-day average.</w:t>
      </w:r>
    </w:p>
    <w:p>
      <w:pPr>
        <w:pStyle w:val="ListParagraph"/>
        <w:numPr>
          <w:ilvl w:val="0"/>
          <w:numId w:val="1"/>
        </w:numPr>
        <w:spacing w:after="90" w:line="280"/>
      </w:pPr>
      <w:r>
        <w:rPr>
          <w:rFonts w:ascii="Calibri" w:cs="Calibri" w:eastAsia="Calibri" w:hAnsi="Calibri"/>
          <w:color w:val="333333"/>
          <w:sz w:val="22"/>
          <w:szCs w:val="22"/>
        </w:rPr>
        <w:t xml:space="preserve">Design occasion-specific bundles using the top product per occasion to increase campaign relevance.</w:t>
      </w:r>
    </w:p>
    <w:p>
      <w:pPr>
        <w:pStyle w:val="ListParagraph"/>
        <w:numPr>
          <w:ilvl w:val="0"/>
          <w:numId w:val="1"/>
        </w:numPr>
        <w:spacing w:after="90" w:line="280"/>
      </w:pPr>
      <w:r>
        <w:rPr>
          <w:rFonts w:ascii="Calibri" w:cs="Calibri" w:eastAsia="Calibri" w:hAnsi="Calibri"/>
          <w:color w:val="333333"/>
          <w:sz w:val="22"/>
          <w:szCs w:val="22"/>
        </w:rPr>
        <w:t xml:space="preserve">Investigate why Diwali and Valentine's Day underperform relative to Anniversary/Raksha Bandhan despite being major gifting occasions.</w:t>
      </w:r>
    </w:p>
    <w:p>
      <w:pPr>
        <w:pStyle w:val="Heading1"/>
        <w:pBdr>
          <w:bottom w:val="single" w:color="8DC63F" w:sz="12" w:space="6"/>
        </w:pBdr>
        <w:spacing w:after="180" w:before="420"/>
      </w:pPr>
      <w:r>
        <w:rPr>
          <w:rFonts w:ascii="Calibri" w:cs="Calibri" w:eastAsia="Calibri" w:hAnsi="Calibri"/>
          <w:b/>
          <w:bCs/>
          <w:color w:val="8DC63F"/>
          <w:sz w:val="30"/>
          <w:szCs w:val="30"/>
        </w:rPr>
        <w:t xml:space="preserve">14  </w:t>
      </w:r>
      <w:r>
        <w:rPr>
          <w:rFonts w:ascii="Calibri" w:cs="Calibri" w:eastAsia="Calibri" w:hAnsi="Calibri"/>
          <w:b/>
          <w:bCs/>
          <w:color w:val="2B2B2B"/>
          <w:sz w:val="30"/>
          <w:szCs w:val="30"/>
        </w:rPr>
        <w:t xml:space="preserve">Tools &amp; Methodology</w:t>
      </w:r>
    </w:p>
    <w:p>
      <w:pPr>
        <w:spacing w:after="140" w:line="300"/>
      </w:pPr>
      <w:r>
        <w:rPr>
          <w:rFonts w:ascii="Calibri" w:cs="Calibri" w:eastAsia="Calibri" w:hAnsi="Calibri"/>
          <w:color w:val="333333"/>
          <w:sz w:val="22"/>
          <w:szCs w:val="22"/>
        </w:rPr>
        <w:t xml:space="preserve">Data was cleaned and joined (Orders ⋈ Products ⋈ Customers) using Python (Pandas). Delivery time was derived as Delivery_Date − Order_Date, and Revenue as Quantity × Price. The interactive dashboard — KPIs, trend lines, top-N breakdowns, and slicers for Occasion, Order_Date, and Delivery_Date — was built in Power BI using DAX measures for Total Revenue, Avg Order-Delivery Time, and Avg Customer Spend.</w:t>
      </w:r>
    </w:p>
    <w:sectPr>
      <w:headerReference w:type="default" r:id="rId7"/>
      <w:footerReference w:type="default" r:id="rId8"/>
      <w:pgSz w:w="12240" w:h="15840" w:orient="portrait"/>
      <w:pgMar w:top="900" w:right="950" w:bottom="9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  Ferns &amp; Petals Sales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rFonts w:ascii="Calibri" w:cs="Calibri" w:eastAsia="Calibri" w:hAnsi="Calibri"/>
        <w:color w:val="666666"/>
        <w:sz w:val="16"/>
        <w:szCs w:val="16"/>
      </w:rPr>
      <w:t xml:space="preserve">FNP Sales Analysis Report</w:t>
    </w:r>
    <w:r>
      <w:t xml:space="preserve">	</w:t>
    </w:r>
    <w:r>
      <w:rPr>
        <w:rFonts w:ascii="Calibri" w:cs="Calibri" w:eastAsia="Calibri" w:hAnsi="Calibri"/>
        <w:color w:val="666666"/>
        <w:sz w:val="16"/>
        <w:szCs w:val="16"/>
      </w:rPr>
      <w:t xml:space="preserve">Aniket Kalushe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7d3ac0581b7feb146b84c5177d35fe8ebcde34.png"/><Relationship Id="rId10" Type="http://schemas.openxmlformats.org/officeDocument/2006/relationships/image" Target="media/66a4622020d556aad4561227c33370cc2e8bf4ac.png"/><Relationship Id="rId11" Type="http://schemas.openxmlformats.org/officeDocument/2006/relationships/image" Target="media/526d571071a3ca2bd6996bbdd6d55f4e23745aad.png"/><Relationship Id="rId12" Type="http://schemas.openxmlformats.org/officeDocument/2006/relationships/image" Target="media/08d5a9aa4f11c32f6acc0376ba5d252dd5b1f64d.png"/><Relationship Id="rId13" Type="http://schemas.openxmlformats.org/officeDocument/2006/relationships/image" Target="media/2c657ab93250e2b1be2b9b29fe915b1d1127a703.png"/><Relationship Id="rId14" Type="http://schemas.openxmlformats.org/officeDocument/2006/relationships/image" Target="media/b985f891ccae3e5a46b5764b090dd59d96460bd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2026-09-09T18:39:25.874Z</dcterms:created>
  <dcterms:modified xsi:type="dcterms:W3CDTF">2026-09-09T18:39:25.885Z</dcterms:modified>
</cp:coreProperties>
</file>

<file path=docProps/custom.xml><?xml version="1.0" encoding="utf-8"?>
<Properties xmlns="http://schemas.openxmlformats.org/officeDocument/2006/custom-properties" xmlns:vt="http://schemas.openxmlformats.org/officeDocument/2006/docPropsVTypes"/>
</file>