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55F6D"/>
          <w:sz w:val="20"/>
        </w:rPr>
        <w:t>Grove Systems CRM</w:t>
      </w:r>
    </w:p>
    <w:p>
      <w:pPr>
        <w:spacing w:after="40"/>
      </w:pPr>
      <w:r>
        <w:rPr>
          <w:b/>
          <w:i w:val="0"/>
          <w:color w:val="1E3A5F"/>
          <w:sz w:val="48"/>
        </w:rPr>
        <w:t>Warranty &amp; AMC</w:t>
      </w:r>
    </w:p>
    <w:p>
      <w:pPr>
        <w:spacing w:after="280"/>
      </w:pPr>
      <w:r>
        <w:rPr>
          <w:b w:val="0"/>
          <w:i w:val="0"/>
          <w:color w:val="555F6D"/>
          <w:sz w:val="23"/>
        </w:rPr>
        <w:t>Knowing what is about to run out of cover</w:t>
      </w:r>
    </w:p>
    <w:p>
      <w:pPr>
        <w:spacing w:after="240"/>
      </w:pPr>
      <w:r>
        <w:rPr>
          <w:b w:val="0"/>
          <w:i w:val="0"/>
          <w:color w:val="1A1A1A"/>
          <w:sz w:val="22"/>
        </w:rPr>
        <w:t>The Warranty &amp; AMC page is the register of equipment we still cover — who owns it, where it is installed, which serial numbers it covers and the date the cover ends. Its job is to give us a couple of months’ warning before cover lapses, so a renewal or an AMC can be quoted while the customer is still covered rather than after.</w:t>
      </w:r>
    </w:p>
    <w:p>
      <w:pPr>
        <w:spacing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4320"/>
        <w:gridCol w:w="4320"/>
      </w:tblGrid>
      <w:tr>
        <w:tc>
          <w:tcPr>
            <w:tcW w:type="dxa" w:w="130"/>
            <w:shd w:val="clear" w:color="auto" w:fill="2E6DA4"/>
          </w:tcPr>
          <w:p/>
        </w:tc>
        <w:tc>
          <w:tcPr>
            <w:tcW w:type="dxa" w:w="9086"/>
            <w:shd w:val="clear" w:color="auto" w:fill="E8F1FB"/>
          </w:tcPr>
          <w:p>
            <w:pPr>
              <w:spacing w:after="40"/>
            </w:pPr>
            <w:r/>
            <w:r>
              <w:rPr>
                <w:b/>
                <w:sz w:val="21"/>
              </w:rPr>
              <w:t>Who can see this page</w:t>
            </w:r>
          </w:p>
          <w:p>
            <w:pPr>
              <w:spacing w:after="80"/>
            </w:pPr>
            <w:r>
              <w:rPr>
                <w:sz w:val="21"/>
              </w:rPr>
              <w:t>Warranty &amp; AMC is visible to admins and super admins. Both see the whole register, not just their own accounts. Sales users do not see the page or the sidebar link.</w:t>
            </w:r>
          </w:p>
        </w:tc>
      </w:tr>
    </w:tbl>
    <w:p>
      <w:pPr>
        <w:spacing w:after="80"/>
      </w:pPr>
    </w:p>
    <w:p>
      <w:pPr>
        <w:pStyle w:val="Heading1"/>
      </w:pPr>
      <w:r>
        <w:t>1. Finding your way around</w:t>
      </w:r>
    </w:p>
    <w:p>
      <w:pPr>
        <w:spacing w:after="160"/>
      </w:pPr>
      <w:r>
        <w:rPr>
          <w:b w:val="0"/>
          <w:i w:val="0"/>
          <w:color w:val="1A1A1A"/>
          <w:sz w:val="22"/>
        </w:rPr>
        <w:t>Open Warranty &amp; AMC from the sidebar. Records are listed soonest to expire first, so the ones that need attention are always at the top.</w:t>
      </w:r>
    </w:p>
    <w:p>
      <w:pPr>
        <w:spacing w:after="160"/>
      </w:pPr>
      <w:r>
        <w:rPr>
          <w:b w:val="0"/>
          <w:i w:val="0"/>
          <w:color w:val="1A1A1A"/>
          <w:sz w:val="22"/>
        </w:rPr>
        <w:t>The four boxes across the top are counts, and each one is a filter — click it to show only those records.</w:t>
      </w:r>
    </w:p>
    <w:tbl>
      <w:tblPr>
        <w:tblStyle w:val="TableGrid"/>
        <w:tblW w:type="auto" w:w="0"/>
        <w:jc w:val="center"/>
        <w:tblLayout w:type="fixed"/>
        <w:tblLook w:firstColumn="1" w:firstRow="1" w:lastColumn="0" w:lastRow="0" w:noHBand="0" w:noVBand="1" w:val="04A0"/>
        <w:tblLayout w:type="fixed"/>
      </w:tblPr>
      <w:tblGrid>
        <w:gridCol w:w="4320"/>
        <w:gridCol w:w="4320"/>
      </w:tblGrid>
      <w:tr>
        <w:tc>
          <w:tcPr>
            <w:tcW w:type="dxa" w:w="2304"/>
            <w:shd w:val="clear" w:color="auto" w:fill="1E3A5F"/>
          </w:tcPr>
          <w:p>
            <w:pPr>
              <w:spacing w:before="40" w:after="40"/>
            </w:pPr>
            <w:r/>
            <w:r>
              <w:rPr>
                <w:b/>
                <w:color w:val="FFFFFF"/>
                <w:sz w:val="20"/>
              </w:rPr>
              <w:t>Box</w:t>
            </w:r>
          </w:p>
        </w:tc>
        <w:tc>
          <w:tcPr>
            <w:tcW w:type="dxa" w:w="6912"/>
            <w:shd w:val="clear" w:color="auto" w:fill="1E3A5F"/>
          </w:tcPr>
          <w:p>
            <w:pPr>
              <w:spacing w:before="40" w:after="40"/>
            </w:pPr>
            <w:r/>
            <w:r>
              <w:rPr>
                <w:b/>
                <w:color w:val="FFFFFF"/>
                <w:sz w:val="20"/>
              </w:rPr>
              <w:t>What it counts</w:t>
            </w:r>
          </w:p>
        </w:tc>
      </w:tr>
      <w:tr>
        <w:tc>
          <w:tcPr>
            <w:tcW w:type="dxa" w:w="2304"/>
          </w:tcPr>
          <w:p>
            <w:pPr>
              <w:spacing w:before="40" w:after="40"/>
            </w:pPr>
            <w:r/>
            <w:r>
              <w:rPr>
                <w:b/>
                <w:sz w:val="20"/>
              </w:rPr>
              <w:t>Lapsed</w:t>
            </w:r>
          </w:p>
        </w:tc>
        <w:tc>
          <w:tcPr>
            <w:tcW w:type="dxa" w:w="6912"/>
          </w:tcPr>
          <w:p>
            <w:pPr>
              <w:spacing w:before="40" w:after="40"/>
            </w:pPr>
            <w:r/>
            <w:r>
              <w:rPr>
                <w:b w:val="0"/>
                <w:sz w:val="20"/>
              </w:rPr>
              <w:t>Cover has already ended. These need chasing first.</w:t>
            </w:r>
          </w:p>
        </w:tc>
      </w:tr>
      <w:tr>
        <w:tc>
          <w:tcPr>
            <w:tcW w:type="dxa" w:w="2304"/>
            <w:shd w:val="clear" w:color="auto" w:fill="F4F6F9"/>
          </w:tcPr>
          <w:p>
            <w:pPr>
              <w:spacing w:before="40" w:after="40"/>
            </w:pPr>
            <w:r/>
            <w:r>
              <w:rPr>
                <w:b/>
                <w:sz w:val="20"/>
              </w:rPr>
              <w:t>Expiring soon</w:t>
            </w:r>
          </w:p>
        </w:tc>
        <w:tc>
          <w:tcPr>
            <w:tcW w:type="dxa" w:w="6912"/>
            <w:shd w:val="clear" w:color="auto" w:fill="F4F6F9"/>
          </w:tcPr>
          <w:p>
            <w:pPr>
              <w:spacing w:before="40" w:after="40"/>
            </w:pPr>
            <w:r/>
            <w:r>
              <w:rPr>
                <w:b w:val="0"/>
                <w:sz w:val="20"/>
              </w:rPr>
              <w:t>Cover ends within the next 60 days.</w:t>
            </w:r>
          </w:p>
        </w:tc>
      </w:tr>
      <w:tr>
        <w:tc>
          <w:tcPr>
            <w:tcW w:type="dxa" w:w="2304"/>
          </w:tcPr>
          <w:p>
            <w:pPr>
              <w:spacing w:before="40" w:after="40"/>
            </w:pPr>
            <w:r/>
            <w:r>
              <w:rPr>
                <w:b/>
                <w:sz w:val="20"/>
              </w:rPr>
              <w:t>Active</w:t>
            </w:r>
          </w:p>
        </w:tc>
        <w:tc>
          <w:tcPr>
            <w:tcW w:type="dxa" w:w="6912"/>
          </w:tcPr>
          <w:p>
            <w:pPr>
              <w:spacing w:before="40" w:after="40"/>
            </w:pPr>
            <w:r/>
            <w:r>
              <w:rPr>
                <w:b w:val="0"/>
                <w:sz w:val="20"/>
              </w:rPr>
              <w:t>More than 60 days of cover left. Nothing to do yet.</w:t>
            </w:r>
          </w:p>
        </w:tc>
      </w:tr>
      <w:tr>
        <w:tc>
          <w:tcPr>
            <w:tcW w:type="dxa" w:w="2304"/>
            <w:shd w:val="clear" w:color="auto" w:fill="F4F6F9"/>
          </w:tcPr>
          <w:p>
            <w:pPr>
              <w:spacing w:before="40" w:after="40"/>
            </w:pPr>
            <w:r/>
            <w:r>
              <w:rPr>
                <w:b/>
                <w:sz w:val="20"/>
              </w:rPr>
              <w:t>Assets covered</w:t>
            </w:r>
          </w:p>
        </w:tc>
        <w:tc>
          <w:tcPr>
            <w:tcW w:type="dxa" w:w="6912"/>
            <w:shd w:val="clear" w:color="auto" w:fill="F4F6F9"/>
          </w:tcPr>
          <w:p>
            <w:pPr>
              <w:spacing w:before="40" w:after="40"/>
            </w:pPr>
            <w:r/>
            <w:r>
              <w:rPr>
                <w:b w:val="0"/>
                <w:sz w:val="20"/>
              </w:rPr>
              <w:t>How many individual units (serial numbers) the whole register covers.</w:t>
            </w:r>
          </w:p>
        </w:tc>
      </w:tr>
    </w:tbl>
    <w:p>
      <w:pPr>
        <w:spacing w:after="40"/>
      </w:pPr>
    </w:p>
    <w:p>
      <w:pPr>
        <w:spacing w:after="120"/>
      </w:pPr>
      <w:r>
        <w:rPr>
          <w:b w:val="0"/>
          <w:i w:val="0"/>
          <w:color w:val="1A1A1A"/>
          <w:sz w:val="22"/>
        </w:rPr>
        <w:t>The list itself shows one row per contract:</w:t>
      </w:r>
    </w:p>
    <w:tbl>
      <w:tblPr>
        <w:tblStyle w:val="TableGrid"/>
        <w:tblW w:type="auto" w:w="0"/>
        <w:jc w:val="center"/>
        <w:tblLayout w:type="fixed"/>
        <w:tblLook w:firstColumn="1" w:firstRow="1" w:lastColumn="0" w:lastRow="0" w:noHBand="0" w:noVBand="1" w:val="04A0"/>
        <w:tblLayout w:type="fixed"/>
      </w:tblPr>
      <w:tblGrid>
        <w:gridCol w:w="4320"/>
        <w:gridCol w:w="4320"/>
      </w:tblGrid>
      <w:tr>
        <w:tc>
          <w:tcPr>
            <w:tcW w:type="dxa" w:w="2304"/>
            <w:shd w:val="clear" w:color="auto" w:fill="1E3A5F"/>
          </w:tcPr>
          <w:p>
            <w:pPr>
              <w:spacing w:before="40" w:after="40"/>
            </w:pPr>
            <w:r/>
            <w:r>
              <w:rPr>
                <w:b/>
                <w:color w:val="FFFFFF"/>
                <w:sz w:val="20"/>
              </w:rPr>
              <w:t>Column</w:t>
            </w:r>
          </w:p>
        </w:tc>
        <w:tc>
          <w:tcPr>
            <w:tcW w:type="dxa" w:w="6912"/>
            <w:shd w:val="clear" w:color="auto" w:fill="1E3A5F"/>
          </w:tcPr>
          <w:p>
            <w:pPr>
              <w:spacing w:before="40" w:after="40"/>
            </w:pPr>
            <w:r/>
            <w:r>
              <w:rPr>
                <w:b/>
                <w:color w:val="FFFFFF"/>
                <w:sz w:val="20"/>
              </w:rPr>
              <w:t>What it shows</w:t>
            </w:r>
          </w:p>
        </w:tc>
      </w:tr>
      <w:tr>
        <w:tc>
          <w:tcPr>
            <w:tcW w:type="dxa" w:w="2304"/>
          </w:tcPr>
          <w:p>
            <w:pPr>
              <w:spacing w:before="40" w:after="40"/>
            </w:pPr>
            <w:r/>
            <w:r>
              <w:rPr>
                <w:b/>
                <w:sz w:val="20"/>
              </w:rPr>
              <w:t>Customer</w:t>
            </w:r>
          </w:p>
        </w:tc>
        <w:tc>
          <w:tcPr>
            <w:tcW w:type="dxa" w:w="6912"/>
          </w:tcPr>
          <w:p>
            <w:pPr>
              <w:spacing w:before="40" w:after="40"/>
            </w:pPr>
            <w:r/>
            <w:r>
              <w:rPr>
                <w:b w:val="0"/>
                <w:sz w:val="20"/>
              </w:rPr>
              <w:t>The account the equipment belongs to.</w:t>
            </w:r>
          </w:p>
        </w:tc>
      </w:tr>
      <w:tr>
        <w:tc>
          <w:tcPr>
            <w:tcW w:type="dxa" w:w="2304"/>
            <w:shd w:val="clear" w:color="auto" w:fill="F4F6F9"/>
          </w:tcPr>
          <w:p>
            <w:pPr>
              <w:spacing w:before="40" w:after="40"/>
            </w:pPr>
            <w:r/>
            <w:r>
              <w:rPr>
                <w:b/>
                <w:sz w:val="20"/>
              </w:rPr>
              <w:t>Location</w:t>
            </w:r>
          </w:p>
        </w:tc>
        <w:tc>
          <w:tcPr>
            <w:tcW w:type="dxa" w:w="6912"/>
            <w:shd w:val="clear" w:color="auto" w:fill="F4F6F9"/>
          </w:tcPr>
          <w:p>
            <w:pPr>
              <w:spacing w:before="40" w:after="40"/>
            </w:pPr>
            <w:r/>
            <w:r>
              <w:rPr>
                <w:b w:val="0"/>
                <w:sz w:val="20"/>
              </w:rPr>
              <w:t>Where it is installed.</w:t>
            </w:r>
          </w:p>
        </w:tc>
      </w:tr>
      <w:tr>
        <w:tc>
          <w:tcPr>
            <w:tcW w:type="dxa" w:w="2304"/>
          </w:tcPr>
          <w:p>
            <w:pPr>
              <w:spacing w:before="40" w:after="40"/>
            </w:pPr>
            <w:r/>
            <w:r>
              <w:rPr>
                <w:b/>
                <w:sz w:val="20"/>
              </w:rPr>
              <w:t>Expires</w:t>
            </w:r>
          </w:p>
        </w:tc>
        <w:tc>
          <w:tcPr>
            <w:tcW w:type="dxa" w:w="6912"/>
          </w:tcPr>
          <w:p>
            <w:pPr>
              <w:spacing w:before="40" w:after="40"/>
            </w:pPr>
            <w:r/>
            <w:r>
              <w:rPr>
                <w:b w:val="0"/>
                <w:sz w:val="20"/>
              </w:rPr>
              <w:t>The date cover ends.</w:t>
            </w:r>
          </w:p>
        </w:tc>
      </w:tr>
      <w:tr>
        <w:tc>
          <w:tcPr>
            <w:tcW w:type="dxa" w:w="2304"/>
            <w:shd w:val="clear" w:color="auto" w:fill="F4F6F9"/>
          </w:tcPr>
          <w:p>
            <w:pPr>
              <w:spacing w:before="40" w:after="40"/>
            </w:pPr>
            <w:r/>
            <w:r>
              <w:rPr>
                <w:b/>
                <w:sz w:val="20"/>
              </w:rPr>
              <w:t>Status</w:t>
            </w:r>
          </w:p>
        </w:tc>
        <w:tc>
          <w:tcPr>
            <w:tcW w:type="dxa" w:w="6912"/>
            <w:shd w:val="clear" w:color="auto" w:fill="F4F6F9"/>
          </w:tcPr>
          <w:p>
            <w:pPr>
              <w:spacing w:before="40" w:after="40"/>
            </w:pPr>
            <w:r/>
            <w:r>
              <w:rPr>
                <w:b w:val="0"/>
                <w:sz w:val="20"/>
              </w:rPr>
              <w:t>A coloured pill — "Lapsed 34d ago" or "58d left". Red and amber rows need action.</w:t>
            </w:r>
          </w:p>
        </w:tc>
      </w:tr>
      <w:tr>
        <w:tc>
          <w:tcPr>
            <w:tcW w:type="dxa" w:w="2304"/>
          </w:tcPr>
          <w:p>
            <w:pPr>
              <w:spacing w:before="40" w:after="40"/>
            </w:pPr>
            <w:r/>
            <w:r>
              <w:rPr>
                <w:b/>
                <w:sz w:val="20"/>
              </w:rPr>
              <w:t>Assets</w:t>
            </w:r>
          </w:p>
        </w:tc>
        <w:tc>
          <w:tcPr>
            <w:tcW w:type="dxa" w:w="6912"/>
          </w:tcPr>
          <w:p>
            <w:pPr>
              <w:spacing w:before="40" w:after="40"/>
            </w:pPr>
            <w:r/>
            <w:r>
              <w:rPr>
                <w:b w:val="0"/>
                <w:sz w:val="20"/>
              </w:rPr>
              <w:t>How many units this record covers.</w:t>
            </w:r>
          </w:p>
        </w:tc>
      </w:tr>
      <w:tr>
        <w:tc>
          <w:tcPr>
            <w:tcW w:type="dxa" w:w="2304"/>
            <w:shd w:val="clear" w:color="auto" w:fill="F4F6F9"/>
          </w:tcPr>
          <w:p>
            <w:pPr>
              <w:spacing w:before="40" w:after="40"/>
            </w:pPr>
            <w:r/>
            <w:r>
              <w:rPr>
                <w:b/>
                <w:sz w:val="20"/>
              </w:rPr>
              <w:t>Value</w:t>
            </w:r>
          </w:p>
        </w:tc>
        <w:tc>
          <w:tcPr>
            <w:tcW w:type="dxa" w:w="6912"/>
            <w:shd w:val="clear" w:color="auto" w:fill="F4F6F9"/>
          </w:tcPr>
          <w:p>
            <w:pPr>
              <w:spacing w:before="40" w:after="40"/>
            </w:pPr>
            <w:r/>
            <w:r>
              <w:rPr>
                <w:b w:val="0"/>
                <w:sz w:val="20"/>
              </w:rPr>
              <w:t>The value of the original contract.</w:t>
            </w:r>
          </w:p>
        </w:tc>
      </w:tr>
      <w:tr>
        <w:tc>
          <w:tcPr>
            <w:tcW w:type="dxa" w:w="2304"/>
          </w:tcPr>
          <w:p>
            <w:pPr>
              <w:spacing w:before="40" w:after="40"/>
            </w:pPr>
            <w:r/>
            <w:r>
              <w:rPr>
                <w:b/>
                <w:sz w:val="20"/>
              </w:rPr>
              <w:t>Expiry source</w:t>
            </w:r>
          </w:p>
        </w:tc>
        <w:tc>
          <w:tcPr>
            <w:tcW w:type="dxa" w:w="6912"/>
          </w:tcPr>
          <w:p>
            <w:pPr>
              <w:spacing w:before="40" w:after="40"/>
            </w:pPr>
            <w:r/>
            <w:r>
              <w:rPr>
                <w:b w:val="0"/>
                <w:sz w:val="20"/>
              </w:rPr>
              <w:t>Where the expiry date came from. See section 3 — this one matters.</w:t>
            </w:r>
          </w:p>
        </w:tc>
      </w:tr>
    </w:tbl>
    <w:p>
      <w:pPr>
        <w:spacing w:after="40"/>
      </w:pPr>
    </w:p>
    <w:p>
      <w:pPr>
        <w:spacing w:after="200"/>
      </w:pPr>
      <w:r>
        <w:rPr>
          <w:b w:val="0"/>
          <w:i w:val="0"/>
          <w:color w:val="1A1A1A"/>
          <w:sz w:val="22"/>
        </w:rPr>
        <w:t>Click any row to expand it in place. The serial numbers covered by that record appear as chips, along with the invoice details. Those serials are what an AMC quote is built from, so this is where you copy them from.</w:t>
      </w:r>
    </w:p>
    <w:p>
      <w:pPr>
        <w:pStyle w:val="Heading1"/>
      </w:pPr>
      <w:r>
        <w:t>2. Finding a particular record</w:t>
      </w:r>
    </w:p>
    <w:p>
      <w:pPr>
        <w:pStyle w:val="ListBullet"/>
        <w:spacing w:after="60"/>
      </w:pPr>
      <w:r>
        <w:rPr>
          <w:b w:val="0"/>
          <w:sz w:val="22"/>
        </w:rPr>
        <w:t xml:space="preserve">The </w:t>
      </w:r>
      <w:r>
        <w:rPr>
          <w:b/>
          <w:sz w:val="22"/>
        </w:rPr>
        <w:t>search box</w:t>
      </w:r>
      <w:r>
        <w:rPr>
          <w:b w:val="0"/>
          <w:sz w:val="22"/>
        </w:rPr>
        <w:t xml:space="preserve"> matches customer, location, invoice number, model and serial number. If a customer calls about one unit, paste its serial in here.</w:t>
      </w:r>
    </w:p>
    <w:p>
      <w:pPr>
        <w:pStyle w:val="ListBullet"/>
        <w:spacing w:after="60"/>
      </w:pPr>
      <w:r>
        <w:rPr>
          <w:b/>
          <w:sz w:val="22"/>
        </w:rPr>
        <w:t>All cover</w:t>
      </w:r>
      <w:r>
        <w:rPr>
          <w:b w:val="0"/>
          <w:sz w:val="22"/>
        </w:rPr>
        <w:t xml:space="preserve"> filters by Lapsed / Expiring in 60 days / Active — the same bands as the boxes above.</w:t>
      </w:r>
    </w:p>
    <w:p>
      <w:pPr>
        <w:pStyle w:val="ListBullet"/>
        <w:spacing w:after="60"/>
      </w:pPr>
      <w:r>
        <w:rPr>
          <w:b/>
          <w:sz w:val="22"/>
        </w:rPr>
        <w:t>Any expiry source</w:t>
      </w:r>
      <w:r>
        <w:rPr>
          <w:b w:val="0"/>
          <w:sz w:val="22"/>
        </w:rPr>
        <w:t xml:space="preserve"> filters by AMS registered or Computed.</w:t>
      </w:r>
    </w:p>
    <w:p>
      <w:pPr>
        <w:pStyle w:val="ListBullet"/>
        <w:spacing w:after="60"/>
      </w:pPr>
      <w:r>
        <w:rPr>
          <w:b/>
          <w:sz w:val="22"/>
        </w:rPr>
        <w:t>Sort</w:t>
      </w:r>
      <w:r>
        <w:rPr>
          <w:b w:val="0"/>
          <w:sz w:val="22"/>
        </w:rPr>
        <w:t xml:space="preserve"> by expiry, by contract value, or by customer name.</w:t>
      </w:r>
    </w:p>
    <w:p>
      <w:pPr>
        <w:pStyle w:val="ListBullet"/>
        <w:spacing w:after="60"/>
      </w:pPr>
      <w:r>
        <w:rPr>
          <w:b/>
          <w:sz w:val="22"/>
        </w:rPr>
        <w:t>Reset</w:t>
      </w:r>
      <w:r>
        <w:rPr>
          <w:b w:val="0"/>
          <w:sz w:val="22"/>
        </w:rPr>
        <w:t xml:space="preserve"> clears everything and puts the list back to soonest-expiry first.</w:t>
      </w:r>
    </w:p>
    <w:p>
      <w:pPr>
        <w:pStyle w:val="Heading1"/>
      </w:pPr>
      <w:r>
        <w:t>3. "AMS registered" vs "Computed"</w:t>
      </w:r>
    </w:p>
    <w:p>
      <w:pPr>
        <w:spacing w:after="160"/>
      </w:pPr>
      <w:r>
        <w:rPr>
          <w:b w:val="0"/>
          <w:i w:val="0"/>
          <w:color w:val="1A1A1A"/>
          <w:sz w:val="22"/>
        </w:rPr>
        <w:t>Every record carries a badge saying where its expiry date came from. The short version: AMS registered is the real date, Computed is our safe estimate, and a Computed date is always early, never late.</w:t>
      </w:r>
    </w:p>
    <w:tbl>
      <w:tblPr>
        <w:tblStyle w:val="TableGrid"/>
        <w:tblW w:type="auto" w:w="0"/>
        <w:jc w:val="center"/>
        <w:tblLayout w:type="fixed"/>
        <w:tblLook w:firstColumn="1" w:firstRow="1" w:lastColumn="0" w:lastRow="0" w:noHBand="0" w:noVBand="1" w:val="04A0"/>
        <w:tblLayout w:type="fixed"/>
      </w:tblPr>
      <w:tblGrid>
        <w:gridCol w:w="4320"/>
        <w:gridCol w:w="4320"/>
      </w:tblGrid>
      <w:tr>
        <w:tc>
          <w:tcPr>
            <w:tcW w:type="dxa" w:w="2304"/>
            <w:shd w:val="clear" w:color="auto" w:fill="1E3A5F"/>
          </w:tcPr>
          <w:p>
            <w:pPr>
              <w:spacing w:before="40" w:after="40"/>
            </w:pPr>
            <w:r/>
            <w:r>
              <w:rPr>
                <w:b/>
                <w:color w:val="FFFFFF"/>
                <w:sz w:val="20"/>
              </w:rPr>
              <w:t>Badge</w:t>
            </w:r>
          </w:p>
        </w:tc>
        <w:tc>
          <w:tcPr>
            <w:tcW w:type="dxa" w:w="6912"/>
            <w:shd w:val="clear" w:color="auto" w:fill="1E3A5F"/>
          </w:tcPr>
          <w:p>
            <w:pPr>
              <w:spacing w:before="40" w:after="40"/>
            </w:pPr>
            <w:r/>
            <w:r>
              <w:rPr>
                <w:b/>
                <w:color w:val="FFFFFF"/>
                <w:sz w:val="20"/>
              </w:rPr>
              <w:t>What it means</w:t>
            </w:r>
          </w:p>
        </w:tc>
      </w:tr>
      <w:tr>
        <w:tc>
          <w:tcPr>
            <w:tcW w:type="dxa" w:w="2304"/>
          </w:tcPr>
          <w:p>
            <w:pPr>
              <w:spacing w:before="40" w:after="40"/>
            </w:pPr>
            <w:r/>
            <w:r>
              <w:rPr>
                <w:b/>
                <w:sz w:val="20"/>
              </w:rPr>
              <w:t>AMS registered</w:t>
            </w:r>
          </w:p>
        </w:tc>
        <w:tc>
          <w:tcPr>
            <w:tcW w:type="dxa" w:w="6912"/>
          </w:tcPr>
          <w:p>
            <w:pPr>
              <w:spacing w:before="40" w:after="40"/>
            </w:pPr>
            <w:r/>
            <w:r>
              <w:rPr>
                <w:b w:val="0"/>
                <w:sz w:val="20"/>
              </w:rPr>
              <w:t>The expiry was read from the Yealink AMS portal, where the unit’s warranty is actually recorded. This is the exact date. Trust it.</w:t>
            </w:r>
          </w:p>
        </w:tc>
      </w:tr>
      <w:tr>
        <w:tc>
          <w:tcPr>
            <w:tcW w:type="dxa" w:w="2304"/>
            <w:shd w:val="clear" w:color="auto" w:fill="F4F6F9"/>
          </w:tcPr>
          <w:p>
            <w:pPr>
              <w:spacing w:before="40" w:after="40"/>
            </w:pPr>
            <w:r/>
            <w:r>
              <w:rPr>
                <w:b/>
                <w:sz w:val="20"/>
              </w:rPr>
              <w:t>Computed</w:t>
            </w:r>
          </w:p>
        </w:tc>
        <w:tc>
          <w:tcPr>
            <w:tcW w:type="dxa" w:w="6912"/>
            <w:shd w:val="clear" w:color="auto" w:fill="F4F6F9"/>
          </w:tcPr>
          <w:p>
            <w:pPr>
              <w:spacing w:before="40" w:after="40"/>
            </w:pPr>
            <w:r/>
            <w:r>
              <w:rPr>
                <w:b w:val="0"/>
                <w:sz w:val="20"/>
              </w:rPr>
              <w:t>The unit was never looked up in the AMS portal, so the CRM calculates the expiry as invoice date + 2 years. Warranty registration always happens some time after invoicing, so the true expiry is later than the date shown — typically by three to six months.</w:t>
            </w:r>
          </w:p>
        </w:tc>
      </w:tr>
    </w:tbl>
    <w:p>
      <w:pPr>
        <w:spacing w:after="40"/>
      </w:pPr>
    </w:p>
    <w:p>
      <w:pPr>
        <w:spacing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4320"/>
        <w:gridCol w:w="4320"/>
      </w:tblGrid>
      <w:tr>
        <w:tc>
          <w:tcPr>
            <w:tcW w:type="dxa" w:w="130"/>
            <w:shd w:val="clear" w:color="auto" w:fill="2E6DA4"/>
          </w:tcPr>
          <w:p/>
        </w:tc>
        <w:tc>
          <w:tcPr>
            <w:tcW w:type="dxa" w:w="9086"/>
            <w:shd w:val="clear" w:color="auto" w:fill="E8F1FB"/>
          </w:tcPr>
          <w:p>
            <w:pPr>
              <w:spacing w:after="40"/>
            </w:pPr>
            <w:r/>
            <w:r>
              <w:rPr>
                <w:b/>
                <w:sz w:val="21"/>
              </w:rPr>
              <w:t>Why we would rather be early</w:t>
            </w:r>
          </w:p>
          <w:p>
            <w:pPr>
              <w:spacing w:after="80"/>
            </w:pPr>
            <w:r>
              <w:rPr>
                <w:sz w:val="21"/>
              </w:rPr>
              <w:t>A Computed record will prompt you a few months before cover actually ends. That is deliberate. Chasing a renewal early costs a phone call; finding out a week after cover lapsed costs the renewal. If you need the exact date on a Computed record, look the serial up in the AMS portal — the record can then be switched to AMS registered.</w:t>
            </w:r>
          </w:p>
        </w:tc>
      </w:tr>
    </w:tbl>
    <w:p>
      <w:pPr>
        <w:spacing w:after="80"/>
      </w:pPr>
    </w:p>
    <w:p>
      <w:pPr>
        <w:spacing w:after="120"/>
      </w:pPr>
      <w:r>
        <w:rPr>
          <w:b w:val="0"/>
          <w:i w:val="0"/>
          <w:color w:val="1A1A1A"/>
          <w:sz w:val="22"/>
        </w:rPr>
        <w:t>Most of the register is Computed today, so treat "early" as the normal case rather than an exception. Use the Expiry source filter if you want to see only the dates that are known to be exact.</w:t>
      </w:r>
    </w:p>
    <w:p>
      <w:pPr>
        <w:spacing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4320"/>
        <w:gridCol w:w="4320"/>
      </w:tblGrid>
      <w:tr>
        <w:tc>
          <w:tcPr>
            <w:tcW w:type="dxa" w:w="130"/>
            <w:shd w:val="clear" w:color="auto" w:fill="C97B2E"/>
          </w:tcPr>
          <w:p/>
        </w:tc>
        <w:tc>
          <w:tcPr>
            <w:tcW w:type="dxa" w:w="9086"/>
            <w:shd w:val="clear" w:color="auto" w:fill="FDF3E7"/>
          </w:tcPr>
          <w:p>
            <w:pPr>
              <w:spacing w:after="40"/>
            </w:pPr>
            <w:r/>
            <w:r>
              <w:rPr>
                <w:b/>
                <w:sz w:val="21"/>
              </w:rPr>
              <w:t>Do not go back to the old spreadsheet</w:t>
            </w:r>
          </w:p>
          <w:p>
            <w:pPr>
              <w:spacing w:after="80"/>
            </w:pPr>
            <w:r>
              <w:rPr>
                <w:sz w:val="21"/>
              </w:rPr>
              <w:t>The expiry column in the original AMC spreadsheet was typed by hand and contains mistakes — on at least one row the day and month are swapped. The CRM ignores that column completely and works from the invoice date and the AMS portal instead. The page is the source of truth, not the sheet.</w:t>
            </w:r>
          </w:p>
        </w:tc>
      </w:tr>
    </w:tbl>
    <w:p>
      <w:pPr>
        <w:spacing w:after="80"/>
      </w:pPr>
    </w:p>
    <w:p>
      <w:pPr>
        <w:pStyle w:val="Heading1"/>
      </w:pPr>
      <w:r>
        <w:t>4. The reminder email</w:t>
      </w:r>
    </w:p>
    <w:p>
      <w:pPr>
        <w:pStyle w:val="ListBullet"/>
        <w:spacing w:after="60"/>
      </w:pPr>
      <w:r>
        <w:rPr>
          <w:b w:val="0"/>
          <w:sz w:val="22"/>
        </w:rPr>
        <w:t>One email goes out 60 days before cover ends, listing the records that are approaching expiry.</w:t>
      </w:r>
    </w:p>
    <w:p>
      <w:pPr>
        <w:pStyle w:val="ListBullet"/>
        <w:spacing w:after="60"/>
      </w:pPr>
      <w:r>
        <w:rPr>
          <w:b w:val="0"/>
          <w:sz w:val="22"/>
        </w:rPr>
        <w:t>It is sent to every admin and super admin, not to an individual account owner.</w:t>
      </w:r>
    </w:p>
    <w:p>
      <w:pPr>
        <w:pStyle w:val="ListBullet"/>
        <w:spacing w:after="60"/>
      </w:pPr>
      <w:r>
        <w:rPr>
          <w:b w:val="0"/>
          <w:sz w:val="22"/>
        </w:rPr>
        <w:t xml:space="preserve">Each record is reminded </w:t>
      </w:r>
      <w:r>
        <w:rPr>
          <w:b/>
          <w:sz w:val="22"/>
        </w:rPr>
        <w:t>once</w:t>
      </w:r>
      <w:r>
        <w:rPr>
          <w:b w:val="0"/>
          <w:sz w:val="22"/>
        </w:rPr>
        <w:t xml:space="preserve"> — the CRM records that it has been sent, so the same contract does not nag every day.</w:t>
      </w:r>
    </w:p>
    <w:p>
      <w:pPr>
        <w:pStyle w:val="ListBullet"/>
        <w:spacing w:after="60"/>
      </w:pPr>
      <w:r>
        <w:rPr>
          <w:b w:val="0"/>
          <w:sz w:val="22"/>
        </w:rPr>
        <w:t>Anything already lapsed is picked up by the next scan rather than skipped, so nothing falls through.</w:t>
      </w:r>
    </w:p>
    <w:p>
      <w:pPr>
        <w:spacing w:after="200"/>
      </w:pPr>
      <w:r>
        <w:rPr>
          <w:b w:val="0"/>
          <w:i w:val="0"/>
          <w:color w:val="1A1A1A"/>
          <w:sz w:val="22"/>
        </w:rPr>
        <w:t>The email is a prompt, not the work. When one arrives, open the page, expand the record and quote the renewal.</w:t>
      </w:r>
    </w:p>
    <w:p>
      <w:pPr>
        <w:pStyle w:val="Heading1"/>
      </w:pPr>
      <w:r>
        <w:t>5. What to do with an expiring record</w:t>
      </w:r>
    </w:p>
    <w:p>
      <w:pPr>
        <w:spacing w:after="100"/>
        <w:ind w:left="576" w:hanging="360"/>
      </w:pPr>
      <w:r>
        <w:rPr>
          <w:b/>
          <w:sz w:val="22"/>
        </w:rPr>
        <w:t xml:space="preserve">1.  </w:t>
      </w:r>
      <w:r>
        <w:rPr>
          <w:b w:val="0"/>
          <w:sz w:val="22"/>
        </w:rPr>
        <w:t>Open Warranty &amp; AMC and click the record so the serial numbers are visible.</w:t>
      </w:r>
    </w:p>
    <w:p>
      <w:pPr>
        <w:spacing w:after="100"/>
        <w:ind w:left="576" w:hanging="360"/>
      </w:pPr>
      <w:r>
        <w:rPr>
          <w:b/>
          <w:sz w:val="22"/>
        </w:rPr>
        <w:t xml:space="preserve">2.  </w:t>
      </w:r>
      <w:r>
        <w:rPr>
          <w:b w:val="0"/>
          <w:sz w:val="22"/>
        </w:rPr>
        <w:t xml:space="preserve">Raise a quote for the customer the usual way. An AMC quote is priced </w:t>
      </w:r>
      <w:r>
        <w:rPr>
          <w:b/>
          <w:sz w:val="22"/>
        </w:rPr>
        <w:t>per serial number</w:t>
      </w:r>
      <w:r>
        <w:rPr>
          <w:b w:val="0"/>
          <w:sz w:val="22"/>
        </w:rPr>
        <w:t xml:space="preserve"> — one line per unit, described as the cover being sold, for example "1 Year Extended Warranty for UVC86".</w:t>
      </w:r>
    </w:p>
    <w:p>
      <w:pPr>
        <w:spacing w:after="100"/>
        <w:ind w:left="576" w:hanging="360"/>
      </w:pPr>
      <w:r>
        <w:rPr>
          <w:b/>
          <w:sz w:val="22"/>
        </w:rPr>
        <w:t xml:space="preserve">3.  </w:t>
      </w:r>
      <w:r>
        <w:rPr>
          <w:b w:val="0"/>
          <w:sz w:val="22"/>
        </w:rPr>
        <w:t>Put the serial number and the cover start and end dates on each line, so the customer can see exactly what is being renewed.</w:t>
      </w:r>
    </w:p>
    <w:p>
      <w:pPr>
        <w:spacing w:after="100"/>
        <w:ind w:left="576" w:hanging="360"/>
      </w:pPr>
      <w:r>
        <w:rPr>
          <w:b/>
          <w:sz w:val="22"/>
        </w:rPr>
        <w:t xml:space="preserve">4.  </w:t>
      </w:r>
      <w:r>
        <w:rPr>
          <w:b w:val="0"/>
          <w:sz w:val="22"/>
        </w:rPr>
        <w:t>Send the quote as normal. When it is accepted, the renewed cover has to be added to the register so its own expiry is tracked — tell the admin team so the new record is created.</w:t>
      </w:r>
    </w:p>
    <w:p>
      <w:pPr>
        <w:spacing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4320"/>
        <w:gridCol w:w="4320"/>
      </w:tblGrid>
      <w:tr>
        <w:tc>
          <w:tcPr>
            <w:tcW w:type="dxa" w:w="130"/>
            <w:shd w:val="clear" w:color="auto" w:fill="2E6DA4"/>
          </w:tcPr>
          <w:p/>
        </w:tc>
        <w:tc>
          <w:tcPr>
            <w:tcW w:type="dxa" w:w="9086"/>
            <w:shd w:val="clear" w:color="auto" w:fill="E8F1FB"/>
          </w:tcPr>
          <w:p>
            <w:pPr>
              <w:spacing w:after="40"/>
            </w:pPr>
            <w:r/>
            <w:r>
              <w:rPr>
                <w:b/>
                <w:sz w:val="21"/>
              </w:rPr>
              <w:t>Remember what Computed means when you quote</w:t>
            </w:r>
          </w:p>
          <w:p>
            <w:pPr>
              <w:spacing w:after="80"/>
            </w:pPr>
            <w:r>
              <w:rPr>
                <w:sz w:val="21"/>
              </w:rPr>
              <w:t>On a Computed record the cover probably runs a few months longer than the date shown. Confirm the real end date with the customer or the AMS portal before printing dates on a quote.</w:t>
            </w:r>
          </w:p>
        </w:tc>
      </w:tr>
    </w:tbl>
    <w:p>
      <w:pPr>
        <w:spacing w:after="80"/>
      </w:pP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E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