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/>
        <w:ind w:left="0" w:right="0"/>
        <w:jc w:val="left"/>
        <w:rPr>
          <w:rFonts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About the Venue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  <w:rPr>
          <w:rFonts w:ascii="OpenLight" w:hAnsi="OpenLight" w:eastAsia="OpenLight" w:cs="OpenLight"/>
          <w:color w:val="011F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bdr w:val="none" w:color="auto" w:sz="0" w:space="0"/>
        </w:rPr>
        <w:t>Club University Foundation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11, Rue d’Egmont 1000 Brussels, Belgium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Located in the heart of the European Quarter, the Club University Foundation (Fondation Universitaire) provides a distinguished setting for high-level dialogue. This historic venue—just steps away from the Royal Palace and EU institutions—offers an ideal environment for strategic policy exchange and multi-stakeholder engagement.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left"/>
        <w:rPr>
          <w:rFonts w:hint="default" w:ascii="OpenLight" w:hAnsi="OpenLight" w:eastAsia="OpenLight" w:cs="OpenLight"/>
          <w:color w:val="011F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bdr w:val="none" w:color="auto" w:sz="0" w:space="0"/>
        </w:rPr>
        <w:t>How to Reach the Venue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By Metro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Parc / Park Station (Lines 1 and 5):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Approximately a 5-minute walk via Rue Royale and Rue d’Egmont.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Troon / Trône Station (Lines 2 and 6):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Approximately a 7-minute walk via Rue Montoyer and Rue d’Egmont.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By Train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From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Brussels Central Station: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A 10-minute walk or take metro lines 1 or 5 to Parc station.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From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Brussels-Midi / Zuid Station: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Take metro lines 2 or 6 to Troon / Trône and continue on foot.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By Brussels Airport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By Train: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Direct train to Brussels Central,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followed by a short walk or metro connection.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</w:rPr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 </w:t>
      </w:r>
      <w:r>
        <w:rPr>
          <w:rFonts w:hint="default" w:ascii="OpenLight" w:hAnsi="OpenLight" w:eastAsia="OpenLight" w:cs="OpenLight"/>
          <w:b/>
          <w:bCs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By Taxi:</w:t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kern w:val="0"/>
          <w:sz w:val="26"/>
          <w:szCs w:val="26"/>
          <w:bdr w:val="none" w:color="auto" w:sz="0" w:space="0"/>
          <w:lang w:val="en-US" w:eastAsia="zh-CN" w:bidi="ar"/>
        </w:rPr>
        <w:t>Approximately 30 minutes, average fare around €35.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By Car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Public parking is available nearby, including: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Interparking Porte de Namur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Albertine-Square Parking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Please note that the venue is located within Brussels’ Low Emission Zone (LEZ). Drivers should verify compliance with local regulations.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both"/>
        <w:rPr>
          <w:rFonts w:hint="default" w:ascii="OpenBold" w:hAnsi="OpenBold" w:eastAsia="OpenBold" w:cs="OpenBold"/>
          <w:color w:val="011F26"/>
        </w:rPr>
      </w:pPr>
      <w:r>
        <w:rPr>
          <w:rFonts w:hint="default" w:ascii="OpenBold" w:hAnsi="OpenBold" w:eastAsia="OpenBold" w:cs="OpenBold"/>
          <w:i w:val="0"/>
          <w:iCs w:val="0"/>
          <w:caps w:val="0"/>
          <w:color w:val="011F26"/>
          <w:spacing w:val="17"/>
          <w:bdr w:val="none" w:color="auto" w:sz="0" w:space="0"/>
        </w:rPr>
        <w:t> Accessibility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OpenLight" w:hAnsi="OpenLight" w:eastAsia="OpenLight" w:cs="OpenLight"/>
          <w:i w:val="0"/>
          <w:iCs w:val="0"/>
          <w:caps w:val="0"/>
          <w:color w:val="011F26"/>
          <w:spacing w:val="17"/>
          <w:sz w:val="26"/>
          <w:szCs w:val="26"/>
          <w:bdr w:val="none" w:color="auto" w:sz="0" w:space="0"/>
        </w:rPr>
        <w:t>The venue is wheelchair accessible. For any specific accessibility needs, please contact the conference secretariat in advance.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Bold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A2552"/>
    <w:multiLevelType w:val="multilevel"/>
    <w:tmpl w:val="E3EA2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EFD9DB"/>
    <w:rsid w:val="B0EFD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2025-08-28T17:35:00Z</dcterms:created>
  <dc:creator>aniket-yadav</dc:creator>
  <cp:lastModifiedBy>aniket-yadav</cp:lastModifiedBy>
  <dcterms:modified xsi:type="dcterms:W3CDTF">2025-08-28T17:37:37Z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