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8860B"/>
          <w:spacing w:val="20"/>
          <w:sz w:val="22"/>
          <w:szCs w:val="22"/>
        </w:rPr>
        <w:t xml:space="preserve">EXECUTIVE SUMMARY</w:t>
      </w:r>
    </w:p>
    <w:p>
      <w:pPr>
        <w:spacing w:after="60"/>
        <w:jc w:val="center"/>
      </w:pPr>
      <w:r>
        <w:rPr>
          <w:b/>
          <w:bCs/>
          <w:color w:val="1B2A4A"/>
          <w:sz w:val="40"/>
          <w:szCs w:val="40"/>
        </w:rPr>
        <w:t xml:space="preserve">Factory-to-Customer Shipping Route Efficiency Analysis</w:t>
      </w:r>
    </w:p>
    <w:p>
      <w:pPr>
        <w:spacing w:after="40"/>
        <w:jc w:val="center"/>
      </w:pPr>
      <w:r>
        <w:rPr>
          <w:color w:val="444444"/>
          <w:sz w:val="24"/>
          <w:szCs w:val="24"/>
        </w:rPr>
        <w:t xml:space="preserve">Nassau Candy Distributor</w:t>
      </w:r>
    </w:p>
    <w:p>
      <w:pPr>
        <w:spacing w:after="360"/>
        <w:jc w:val="center"/>
      </w:pPr>
      <w:r>
        <w:rPr>
          <w:i/>
          <w:iCs/>
          <w:color w:val="777777"/>
          <w:sz w:val="20"/>
          <w:szCs w:val="20"/>
        </w:rPr>
        <w:t xml:space="preserve">Prepared for Government Stakeholder Review  |  June 2026</w:t>
      </w:r>
    </w:p>
    <w:p>
      <w:pPr>
        <w:pStyle w:val="Heading1"/>
      </w:pPr>
      <w:r>
        <w:t xml:space="preserve">1. Purpose and Scope</w:t>
      </w:r>
    </w:p>
    <w:p>
      <w:pPr>
        <w:spacing w:after="160"/>
        <w:jc w:val="both"/>
      </w:pPr>
      <w:r>
        <w:rPr>
          <w:sz w:val="22"/>
          <w:szCs w:val="22"/>
        </w:rPr>
        <w:t xml:space="preserve">Nassau Candy Distributor operates as a national distributor, shipping confectionery products from five manufacturing facilities to customers across the United States and Canada. This report summarizes an independent analysis of factory-to-customer shipping route efficiency, undertaken to give stakeholders visibility into where shipping performance is strong, where it is weak, and where the underlying data itself needs attention before it can support operational decisions.</w:t>
      </w:r>
    </w:p>
    <w:p>
      <w:pPr>
        <w:spacing w:after="160"/>
        <w:jc w:val="both"/>
      </w:pPr>
      <w:r>
        <w:rPr>
          <w:sz w:val="22"/>
          <w:szCs w:val="22"/>
        </w:rPr>
        <w:t xml:space="preserve">The analysis covers 10,194 order line items placed between January 2024 and December 2025, spanning five factories, four U.S. regions, 48 U.S. states and the District of Columbia, and two Canadian provinces. The full methodology, code, and an interactive dashboard accompany this summary and are available for technical review.</w:t>
      </w:r>
    </w:p>
    <w:p>
      <w:pPr>
        <w:pStyle w:val="Heading1"/>
      </w:pPr>
      <w:r>
        <w:t xml:space="preserve">2. Data Integrity Finding — Read Before Acting on Route Rankings</w:t>
      </w:r>
    </w:p>
    <w:p>
      <w:pPr>
        <w:spacing w:after="160"/>
        <w:jc w:val="both"/>
      </w:pPr>
      <w:r>
        <w:rPr>
          <w:b/>
          <w:bCs/>
          <w:sz w:val="22"/>
          <w:szCs w:val="22"/>
        </w:rPr>
        <w:t xml:space="preserve">Before presenting findings, stakeholders should be aware of a material data quality issue identified during this analysis. The dataset's “Ship Date” field is not consistent with its “Order Date” field: Order Dates fall in 2024–2025, while Ship Dates fall in 2026–2030. Computed literally, this produces an average shipping lead time of approximately 1,321 days (roughly 3.6 years) — a figure with no basis in real-world confectionery distribution.</w:t>
      </w:r>
    </w:p>
    <w:p>
      <w:pPr>
        <w:spacing w:after="160"/>
        <w:jc w:val="both"/>
      </w:pPr>
      <w:r>
        <w:rPr>
          <w:sz w:val="22"/>
          <w:szCs w:val="22"/>
        </w:rPr>
        <w:t xml:space="preserve">Critically, this anomaly affects every record in the dataset in a way that is statistically indistinguishable from random noise: average lead time varies by less than 2% across shipping modes and by less than 1% across regions, and shows effectively zero correlation with sales, units shipped, or cost. This pattern is consistent with the Order Date and Ship Date fields having been populated independently of one another in the source system, rather than reflecting an actual logistics delay.</w:t>
      </w:r>
    </w:p>
    <w:p>
      <w:pPr>
        <w:spacing w:after="160"/>
        <w:jc w:val="both"/>
      </w:pPr>
      <w:r>
        <w:rPr>
          <w:sz w:val="22"/>
          <w:szCs w:val="22"/>
        </w:rPr>
        <w:t xml:space="preserve">Recommendation: treat the route comparisons in Section 4 as a demonstration of the analytical methodology and a like-for-like relative ranking, not as certified shipping-duration KPIs. We recommend this issue be corrected at the source-system level as the top-priority action item (see Section 6) before any lead-time figure from this dataset is used in external or government reporting.</w:t>
      </w:r>
    </w:p>
    <w:p>
      <w:pPr>
        <w:pStyle w:val="Heading1"/>
      </w:pPr>
      <w:r>
        <w:t xml:space="preserve">3. Operational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1B2A4A"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4680"/>
            <w:tcBorders>
              <w:top w:val="single" w:color="CCCCCC" w:sz="2"/>
              <w:left w:val="single" w:color="CCCCCC" w:sz="2"/>
              <w:bottom w:val="single" w:color="CCCCCC" w:sz="2"/>
              <w:right w:val="single" w:color="CCCCCC" w:sz="2"/>
            </w:tcBorders>
            <w:shd w:fill="1B2A4A"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Total shipment records analyzed</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10,194</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Order activity window</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Jan 2024 – Dec 2025</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Manufacturing facilities</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5</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Geographic coverage</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48 U.S. states + D.C.; 2 Canadian provinces</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Total sales (period)</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$141,783.63</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Total gross profit (period)</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$93,442.80 (~65.9% margin)</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Leading product division</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Chocolate (92.9% of sales)</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Dominant ship mode</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sz w:val="20"/>
                <w:szCs w:val="20"/>
              </w:rPr>
              <w:t xml:space="preserve">Standard Class (60.0% of orders)</w:t>
            </w:r>
          </w:p>
        </w:tc>
      </w:tr>
    </w:tbl>
    <w:p>
      <w:pPr>
        <w:spacing w:after="200"/>
      </w:pPr>
    </w:p>
    <w:p>
      <w:pPr>
        <w:pStyle w:val="Heading1"/>
      </w:pPr>
      <w:r>
        <w:t xml:space="preserve">4. Key Findings</w:t>
      </w:r>
    </w:p>
    <w:p>
      <w:pPr>
        <w:pStyle w:val="Heading2"/>
      </w:pPr>
      <w:r>
        <w:t xml:space="preserve">4.1 Factory Volume Is Highly Concentrated</w:t>
      </w:r>
    </w:p>
    <w:p>
      <w:pPr>
        <w:spacing w:after="160"/>
        <w:jc w:val="both"/>
      </w:pPr>
      <w:r>
        <w:rPr>
          <w:sz w:val="22"/>
          <w:szCs w:val="22"/>
        </w:rPr>
        <w:t xml:space="preserve">Two of the five factories — Lot's O' Nuts and Wicked Choccy's, both Chocolate-division facilities — together account for 96.7% of all shipments (5,692 and 4,152 orders respectively). The remaining three factories (Secret Factory, The Other Factory, Sugar Shack) ship a combined 350 orders. This concentration means that any disruption at either of the two primary factories carries outsized national impact, while the smaller factories lack the order volume needed for statistically reliable route benchmarking.</w:t>
      </w:r>
    </w:p>
    <w:p>
      <w:pPr>
        <w:pStyle w:val="Heading2"/>
      </w:pPr>
      <w:r>
        <w:t xml:space="preserve">4.2 Shipment Volume Is Geographically Concentrated</w:t>
      </w:r>
    </w:p>
    <w:p>
      <w:pPr>
        <w:spacing w:after="160"/>
        <w:jc w:val="both"/>
      </w:pPr>
      <w:r>
        <w:rPr>
          <w:sz w:val="22"/>
          <w:szCs w:val="22"/>
        </w:rPr>
        <w:t xml:space="preserve">California (2,001 orders), New York (1,128), and Texas (985) are the three highest-volume states, together representing roughly 40% of all U.S. shipments. Operationally, this means efficiency gains or losses in these three states will move national-level metrics more than gains or losses anywhere else.</w:t>
      </w:r>
    </w:p>
    <w:p>
      <w:pPr>
        <w:pStyle w:val="Heading2"/>
      </w:pPr>
      <w:r>
        <w:t xml:space="preserve">4.3 Relative Route Ranking (Illustrative — see Section 2 caveat)</w:t>
      </w:r>
    </w:p>
    <w:p>
      <w:pPr>
        <w:spacing w:after="160"/>
        <w:jc w:val="both"/>
      </w:pPr>
      <w:r>
        <w:rPr>
          <w:sz w:val="22"/>
          <w:szCs w:val="22"/>
        </w:rPr>
        <w:t xml:space="preserve">Among routes with a statistically reasonable sample size (≥20 shipments; 75 of 196 state-level routes qualify), the table below shows the five fastest- and five slowest-ranking routes by average computed lead time. These are presented as relative comparisons only, per the Section 2 data integrity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2"/>
              <w:left w:val="single" w:color="CCCCCC" w:sz="2"/>
              <w:bottom w:val="single" w:color="CCCCCC" w:sz="2"/>
              <w:right w:val="single" w:color="CCCCCC" w:sz="2"/>
            </w:tcBorders>
            <w:shd w:fill="1B2A4A" w:val="clear"/>
            <w:tcMar>
              <w:top w:type="dxa" w:w="80"/>
              <w:left w:type="dxa" w:w="120"/>
              <w:bottom w:type="dxa" w:w="80"/>
              <w:right w:type="dxa" w:w="120"/>
            </w:tcMar>
            <w:vAlign w:val="center"/>
          </w:tcPr>
          <w:p>
            <w:pPr>
              <w:jc w:val="left"/>
            </w:pPr>
            <w:r>
              <w:rPr>
                <w:b/>
                <w:bCs/>
                <w:color w:val="FFFFFF"/>
                <w:sz w:val="20"/>
                <w:szCs w:val="20"/>
              </w:rPr>
              <w:t xml:space="preserve">Route (Factory → State)</w:t>
            </w:r>
          </w:p>
        </w:tc>
        <w:tc>
          <w:tcPr>
            <w:tcW w:type="dxa" w:w="1560"/>
            <w:tcBorders>
              <w:top w:val="single" w:color="CCCCCC" w:sz="2"/>
              <w:left w:val="single" w:color="CCCCCC" w:sz="2"/>
              <w:bottom w:val="single" w:color="CCCCCC" w:sz="2"/>
              <w:right w:val="single" w:color="CCCCCC" w:sz="2"/>
            </w:tcBorders>
            <w:shd w:fill="1B2A4A" w:val="clear"/>
            <w:tcMar>
              <w:top w:type="dxa" w:w="80"/>
              <w:left w:type="dxa" w:w="120"/>
              <w:bottom w:type="dxa" w:w="80"/>
              <w:right w:type="dxa" w:w="120"/>
            </w:tcMar>
            <w:vAlign w:val="center"/>
          </w:tcPr>
          <w:p>
            <w:pPr>
              <w:jc w:val="left"/>
            </w:pPr>
            <w:r>
              <w:rPr>
                <w:b/>
                <w:bCs/>
                <w:color w:val="FFFFFF"/>
                <w:sz w:val="20"/>
                <w:szCs w:val="20"/>
              </w:rPr>
              <w:t xml:space="preserve">Shipments</w:t>
            </w:r>
          </w:p>
        </w:tc>
        <w:tc>
          <w:tcPr>
            <w:tcW w:type="dxa" w:w="1560"/>
            <w:tcBorders>
              <w:top w:val="single" w:color="CCCCCC" w:sz="2"/>
              <w:left w:val="single" w:color="CCCCCC" w:sz="2"/>
              <w:bottom w:val="single" w:color="CCCCCC" w:sz="2"/>
              <w:right w:val="single" w:color="CCCCCC" w:sz="2"/>
            </w:tcBorders>
            <w:shd w:fill="1B2A4A" w:val="clear"/>
            <w:tcMar>
              <w:top w:type="dxa" w:w="80"/>
              <w:left w:type="dxa" w:w="120"/>
              <w:bottom w:type="dxa" w:w="80"/>
              <w:right w:type="dxa" w:w="120"/>
            </w:tcMar>
            <w:vAlign w:val="center"/>
          </w:tcPr>
          <w:p>
            <w:pPr>
              <w:jc w:val="left"/>
            </w:pPr>
            <w:r>
              <w:rPr>
                <w:b/>
                <w:bCs/>
                <w:color w:val="FFFFFF"/>
                <w:sz w:val="20"/>
                <w:szCs w:val="20"/>
              </w:rPr>
              <w:t xml:space="preserve">Avg. Lead Time*</w:t>
            </w:r>
          </w:p>
        </w:tc>
        <w:tc>
          <w:tcPr>
            <w:tcW w:type="dxa" w:w="1560"/>
            <w:tcBorders>
              <w:top w:val="single" w:color="CCCCCC" w:sz="2"/>
              <w:left w:val="single" w:color="CCCCCC" w:sz="2"/>
              <w:bottom w:val="single" w:color="CCCCCC" w:sz="2"/>
              <w:right w:val="single" w:color="CCCCCC" w:sz="2"/>
            </w:tcBorders>
            <w:shd w:fill="1B2A4A" w:val="clear"/>
            <w:tcMar>
              <w:top w:type="dxa" w:w="80"/>
              <w:left w:type="dxa" w:w="120"/>
              <w:bottom w:type="dxa" w:w="80"/>
              <w:right w:type="dxa" w:w="120"/>
            </w:tcMar>
            <w:vAlign w:val="center"/>
          </w:tcPr>
          <w:p>
            <w:pPr>
              <w:jc w:val="left"/>
            </w:pPr>
            <w:r>
              <w:rPr>
                <w:b/>
                <w:bCs/>
                <w:color w:val="FFFFFF"/>
                <w:sz w:val="20"/>
                <w:szCs w:val="20"/>
              </w:rPr>
              <w:t xml:space="preserve">Rank</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Lot's O' Nuts → Virginia</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109</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1,229 d</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Fastest</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Lot's O' Nuts → Utah</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29</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1,236 d</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2nd fastest</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Wicked Choccy's → Virginia</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106</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1,239 d</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1E7B45"/>
                <w:sz w:val="20"/>
                <w:szCs w:val="20"/>
              </w:rPr>
              <w:t xml:space="preserve">3rd fastest</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C0392B"/>
                <w:sz w:val="20"/>
                <w:szCs w:val="20"/>
              </w:rPr>
              <w:t xml:space="preserve">Wicked Choccy's → Indiana</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C0392B"/>
                <w:sz w:val="20"/>
                <w:szCs w:val="20"/>
              </w:rPr>
              <w:t xml:space="preserve">54</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C0392B"/>
                <w:sz w:val="20"/>
                <w:szCs w:val="20"/>
              </w:rPr>
              <w:t xml:space="preserve">1,402 d</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C0392B"/>
                <w:sz w:val="20"/>
                <w:szCs w:val="20"/>
              </w:rPr>
              <w:t xml:space="preserve">2nd slowest</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C0392B"/>
                <w:sz w:val="20"/>
                <w:szCs w:val="20"/>
              </w:rPr>
              <w:t xml:space="preserve">Lot's O' Nuts → Connecticut</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C0392B"/>
                <w:sz w:val="20"/>
                <w:szCs w:val="20"/>
              </w:rPr>
              <w:t xml:space="preserve">47</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C0392B"/>
                <w:sz w:val="20"/>
                <w:szCs w:val="20"/>
              </w:rPr>
              <w:t xml:space="preserve">1,421 d</w:t>
            </w:r>
          </w:p>
        </w:tc>
        <w:tc>
          <w:tcPr>
            <w:tcW w:type="dxa" w:w="1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color w:val="C0392B"/>
                <w:sz w:val="20"/>
                <w:szCs w:val="20"/>
              </w:rPr>
              <w:t xml:space="preserve">Slowest</w:t>
            </w:r>
          </w:p>
        </w:tc>
      </w:tr>
    </w:tbl>
    <w:p>
      <w:pPr>
        <w:spacing w:after="200" w:before="80"/>
      </w:pPr>
      <w:r>
        <w:rPr>
          <w:i/>
          <w:iCs/>
          <w:color w:val="777777"/>
          <w:sz w:val="18"/>
          <w:szCs w:val="18"/>
        </w:rPr>
        <w:t xml:space="preserve">*Lead time shown as computed from source dates; see Section 2 — absolute values are not reliable, relative order is presented for methodology demonstration only.</w:t>
      </w:r>
    </w:p>
    <w:p>
      <w:pPr>
        <w:pStyle w:val="Heading2"/>
      </w:pPr>
      <w:r>
        <w:t xml:space="preserve">4.4 Ship Mode Usage Is Heavily Weighted Toward Standard Class</w:t>
      </w:r>
    </w:p>
    <w:p>
      <w:pPr>
        <w:spacing w:after="160"/>
        <w:jc w:val="both"/>
      </w:pPr>
      <w:r>
        <w:rPr>
          <w:sz w:val="22"/>
          <w:szCs w:val="22"/>
        </w:rPr>
        <w:t xml:space="preserve">Standard Class accounts for 60.0% of all orders (6,120), followed by Second Class (19.4%), First Class (15.2%), and Same Day (5.4%). Because Standard Class carries the majority of volume, it is the highest-leverage ship mode for any future efficiency initiative — a small improvement here affects far more shipments than equivalent gains on the lower-volume expedited modes.</w:t>
      </w:r>
    </w:p>
    <w:p>
      <w:pPr>
        <w:pStyle w:val="Heading2"/>
      </w:pPr>
      <w:r>
        <w:t xml:space="preserve">4.5 High-Volume States Warrant the First Bottleneck Review</w:t>
      </w:r>
    </w:p>
    <w:p>
      <w:pPr>
        <w:spacing w:after="160"/>
        <w:jc w:val="both"/>
      </w:pPr>
      <w:r>
        <w:rPr>
          <w:sz w:val="22"/>
          <w:szCs w:val="22"/>
        </w:rPr>
        <w:t xml:space="preserve">Among states with at least 100 orders, Tennessee, Indiana, Washington, and Maryland rank with the highest relative average lead time, making them the most actionable starting points for a bottleneck investigation once the underlying date data is corrected — the combination of meaningful volume and weaker relative ranking is exactly where operational review yields the greatest return.</w:t>
      </w:r>
    </w:p>
    <w:p>
      <w:pPr>
        <w:pStyle w:val="Heading1"/>
      </w:pPr>
      <w:r>
        <w:t xml:space="preserve">5. Financial Context</w:t>
      </w:r>
    </w:p>
    <w:p>
      <w:pPr>
        <w:spacing w:after="160"/>
        <w:jc w:val="both"/>
      </w:pPr>
      <w:r>
        <w:rPr>
          <w:sz w:val="22"/>
          <w:szCs w:val="22"/>
        </w:rPr>
        <w:t xml:space="preserve">Chocolate-division products generated $131,692.90 in sales (92.9% of the total), consistent with Chocolate being produced at the two highest-volume factories. The ‘Other’ division (gum, novelty items) contributed $9,663.25, and the Sugar division — despite having the most distinct product lines — contributed only $427.48, suggesting either a very low per-unit price point or limited order volume for that category; this is worth a follow-up review by the commercial team but falls outside the scope of this logistics analysis.</w:t>
      </w:r>
    </w:p>
    <w:p>
      <w:pPr>
        <w:pStyle w:val="Heading1"/>
      </w:pPr>
      <w:r>
        <w:t xml:space="preserve">6. Recommendations</w:t>
      </w:r>
    </w:p>
    <w:p>
      <w:pPr>
        <w:pStyle w:val="Heading2"/>
      </w:pPr>
      <w:r>
        <w:t xml:space="preserve">6.1 Data &amp; Systems (Priority 1)</w:t>
      </w:r>
    </w:p>
    <w:p>
      <w:pPr>
        <w:pStyle w:val="ListParagraph"/>
        <w:numPr>
          <w:ilvl w:val="0"/>
          <w:numId w:val="2"/>
        </w:numPr>
        <w:spacing w:after="120"/>
      </w:pPr>
      <w:r>
        <w:rPr>
          <w:sz w:val="22"/>
          <w:szCs w:val="22"/>
        </w:rPr>
        <w:t xml:space="preserve">Audit and correct the Order Date / Ship Date capture process in the source order management system. This is the single highest-priority action — no lead-time SLA, delay-rate KPI, or route-efficiency figure should be used in operational or public-facing reporting until resolved.</w:t>
      </w:r>
    </w:p>
    <w:p>
      <w:pPr>
        <w:pStyle w:val="ListParagraph"/>
        <w:numPr>
          <w:ilvl w:val="0"/>
          <w:numId w:val="2"/>
        </w:numPr>
        <w:spacing w:after="120"/>
      </w:pPr>
      <w:r>
        <w:rPr>
          <w:sz w:val="22"/>
          <w:szCs w:val="22"/>
        </w:rPr>
        <w:t xml:space="preserve">Implement automated validation at data entry (e.g., flag any record where Ship Date is not within a defined number of days of Order Date) to prevent recurrence.</w:t>
      </w:r>
    </w:p>
    <w:p>
      <w:pPr>
        <w:pStyle w:val="ListParagraph"/>
        <w:numPr>
          <w:ilvl w:val="0"/>
          <w:numId w:val="2"/>
        </w:numPr>
        <w:spacing w:after="120"/>
      </w:pPr>
      <w:r>
        <w:rPr>
          <w:sz w:val="22"/>
          <w:szCs w:val="22"/>
        </w:rPr>
        <w:t xml:space="preserve">Re-run this analysis, using the same methodology and the accompanying dashboard, once corrected date data is available; no rework of the analytical pipeline is required.</w:t>
      </w:r>
    </w:p>
    <w:p>
      <w:pPr>
        <w:pStyle w:val="Heading2"/>
      </w:pPr>
      <w:r>
        <w:t xml:space="preserve">6.2 Operational (Pending Data Correction)</w:t>
      </w:r>
    </w:p>
    <w:p>
      <w:pPr>
        <w:pStyle w:val="ListParagraph"/>
        <w:numPr>
          <w:ilvl w:val="0"/>
          <w:numId w:val="2"/>
        </w:numPr>
        <w:spacing w:after="120"/>
      </w:pPr>
      <w:r>
        <w:rPr>
          <w:sz w:val="22"/>
          <w:szCs w:val="22"/>
        </w:rPr>
        <w:t xml:space="preserve">Prioritize review of high-volume states identified in Section 4.5 first, since the operational return on resolving a bottleneck scales with shipment volume.</w:t>
      </w:r>
    </w:p>
    <w:p>
      <w:pPr>
        <w:pStyle w:val="ListParagraph"/>
        <w:numPr>
          <w:ilvl w:val="0"/>
          <w:numId w:val="2"/>
        </w:numPr>
        <w:spacing w:after="120"/>
      </w:pPr>
      <w:r>
        <w:rPr>
          <w:sz w:val="22"/>
          <w:szCs w:val="22"/>
        </w:rPr>
        <w:t xml:space="preserve">Evaluate concentration risk arising from two factories carrying 96.7% of volume, including contingency planning for disruption at either site.</w:t>
      </w:r>
    </w:p>
    <w:p>
      <w:pPr>
        <w:pStyle w:val="ListParagraph"/>
        <w:numPr>
          <w:ilvl w:val="0"/>
          <w:numId w:val="2"/>
        </w:numPr>
        <w:spacing w:after="120"/>
      </w:pPr>
      <w:r>
        <w:rPr>
          <w:sz w:val="22"/>
          <w:szCs w:val="22"/>
        </w:rPr>
        <w:t xml:space="preserve">Reassess thinly-served factory-to-state routes (fewer than 20 shipments) for consolidation through higher-volume sister facilities.</w:t>
      </w:r>
    </w:p>
    <w:p>
      <w:pPr>
        <w:pStyle w:val="ListParagraph"/>
        <w:numPr>
          <w:ilvl w:val="0"/>
          <w:numId w:val="2"/>
        </w:numPr>
        <w:spacing w:after="120"/>
      </w:pPr>
      <w:r>
        <w:rPr>
          <w:sz w:val="22"/>
          <w:szCs w:val="22"/>
        </w:rPr>
        <w:t xml:space="preserve">Focus ship-mode efficiency initiatives on Standard Class first, given it carries 60% of total order volume.</w:t>
      </w:r>
    </w:p>
    <w:p>
      <w:pPr>
        <w:pStyle w:val="Heading2"/>
      </w:pPr>
      <w:r>
        <w:t xml:space="preserve">6.3 Governance &amp; Reporting</w:t>
      </w:r>
    </w:p>
    <w:p>
      <w:pPr>
        <w:pStyle w:val="ListParagraph"/>
        <w:numPr>
          <w:ilvl w:val="0"/>
          <w:numId w:val="2"/>
        </w:numPr>
        <w:spacing w:after="120"/>
      </w:pPr>
      <w:r>
        <w:rPr>
          <w:sz w:val="22"/>
          <w:szCs w:val="22"/>
        </w:rPr>
        <w:t xml:space="preserve">Adopt the accompanying interactive dashboard as a standing monitoring tool, with the data-quality caveat retained until source data is corrected.</w:t>
      </w:r>
    </w:p>
    <w:p>
      <w:pPr>
        <w:pStyle w:val="ListParagraph"/>
        <w:numPr>
          <w:ilvl w:val="0"/>
          <w:numId w:val="2"/>
        </w:numPr>
        <w:spacing w:after="120"/>
      </w:pPr>
      <w:r>
        <w:rPr>
          <w:sz w:val="22"/>
          <w:szCs w:val="22"/>
        </w:rPr>
        <w:t xml:space="preserve">Institute periodic (e.g., quarterly) data-quality checks on date fields and other operational KPIs prior to stakeholder distribution.</w:t>
      </w:r>
    </w:p>
    <w:p>
      <w:pPr>
        <w:pStyle w:val="Heading1"/>
      </w:pPr>
      <w:r>
        <w:t xml:space="preserve">7. Conclusion</w:t>
      </w:r>
    </w:p>
    <w:p>
      <w:pPr>
        <w:spacing w:after="160"/>
        <w:jc w:val="both"/>
      </w:pPr>
      <w:r>
        <w:rPr>
          <w:sz w:val="22"/>
          <w:szCs w:val="22"/>
        </w:rPr>
        <w:t xml:space="preserve">This analysis establishes the analytical framework, route definitions, and dashboard infrastructure needed to monitor factory-to-customer shipping efficiency at Nassau Candy Distributor. The most consequential finding, however, is not a logistics result but a data-integrity one: the current Order Date / Ship Date fields cannot support reliable lead-time reporting in their present form. We recommend stakeholders treat this summary as a readiness assessment — the tools and methodology are validated and ready to use, and will produce trustworthy, decision-grade insights as soon as the underlying date-capture issue is corrected.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Nassau Candy Distributor</w:t>
    </w:r>
    <w:r>
      <w:rPr>
        <w:color w:val="777777"/>
        <w:sz w:val="16"/>
        <w:szCs w:val="16"/>
      </w:rPr>
      <w:t xml:space="preserve">	Shipping Route Efficiency Analysis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4"/>
      </w:pBdr>
      <w:spacing w:after="18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2026-06-18T15:03:23.495Z</dcterms:created>
  <dcterms:modified xsi:type="dcterms:W3CDTF">2026-06-18T15:03:23.495Z</dcterms:modified>
</cp:coreProperties>
</file>

<file path=docProps/custom.xml><?xml version="1.0" encoding="utf-8"?>
<Properties xmlns="http://schemas.openxmlformats.org/officeDocument/2006/custom-properties" xmlns:vt="http://schemas.openxmlformats.org/officeDocument/2006/docPropsVTypes"/>
</file>