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Generated Report</w:t>
      </w:r>
    </w:p>
    <w:p>
      <w:r>
        <w:t>As of February 11, 2026, the AI landscape continues its rapid evolution, with significant breakthroughs and ongoing debates shaping the future. Here's a snapshot of the latest key developments:</w:t>
        <w:br/>
        <w:br/>
        <w:t>**1. Next-Gen Foundation Models Pushing Boundaries:**</w:t>
        <w:br/>
        <w:br/>
        <w:t>*   **Multimodal Mastery:** The major players (OpenAI, Google DeepMind, Anthropic) are reportedly nearing or have just released their next iterations of foundation models (e.g., rumored "GPT-5 Ultra," "Gemini Nova," "Claude X"). These models are demonstrating unprecedented multimodal reasoning, seamlessly integrating and generating complex content across text, image, audio, and even video. Their ability to understand nuanced context across modalities is a major leap.</w:t>
        <w:br/>
        <w:t>*   **Longer Context Windows &amp; Advanced Reasoning:** Models are now routinely handling massive context windows (tens of millions of tokens or more), allowing for entire books, extensive codebase, or multi-hour conversations to be processed cohesively. This, combined with improved "chain-of-thought" and symbolic reasoning capabilities, is leading to more robust performance in complex problem-solving.</w:t>
        <w:br/>
        <w:t>*   **Efficiency &amp; On-Device AI:** While models grow in power, there's a strong push for greater efficiency. New architectures and quantization techniques are making sophisticated AI more deployable on edge devices, leading to advancements in personalized and privacy-focused AI experiences on smartphones, smart home devices, and specialized hardware.</w:t>
        <w:br/>
        <w:br/>
        <w:t>**2. Generative Video &amp; 3D Content Reaching New Heights:**</w:t>
        <w:br/>
        <w:br/>
        <w:t>*   **Production-Quality Video from Text:** Building on early 2024 breakthroughs like Sora, generative video platforms are now offering tools capable of producing near-photorealistic, high-fidelity video clips and even short films from simple text prompts. Control over style, camera angles, and character actions is becoming incredibly granular, impacting industries from advertising to entertainment.</w:t>
        <w:br/>
        <w:t>*   **Real-time 3D Asset Generation:** Tools that can rapidly create 3D models and environments from images or text are transforming game development, architectural visualization, and product design, significantly reducing production times and costs.</w:t>
        <w:br/>
        <w:br/>
        <w:t>**3. Embodied AI and Robotics Gaining Intelligence:**</w:t>
        <w:br/>
        <w:br/>
        <w:t>*   **LLM-Powered Robotics:** The integration of advanced large language models with robotic systems is leading to more capable and adaptable robots. Robots are now better at understanding complex, natural language commands, adapting to unforeseen situations, and learning new tasks with minimal human intervention, moving beyond rigid programming.</w:t>
        <w:br/>
        <w:t>*   **Humanoid Robot Advancements:** Companies like Boston Dynamics, Figure AI, and Tesla (with Optimus) are showcasing increasingly agile and intelligent humanoid robots performing complex manipulations and navigation in unstructured environments, hinting at future applications in logistics, elder care, and hazardous work.</w:t>
        <w:br/>
        <w:br/>
        <w:t>**4. Ethical AI, Regulation &amp; Safety remain Hot Topics:**</w:t>
        <w:br/>
        <w:br/>
        <w:t>*   **EU AI Act Implementation:** Nations and industries are grappling with the practical implications of the EU AI Act, which came into full effect in late 2025. Its tiered approach to risk assessment and compliance is setting a global precedent for AI governance.</w:t>
        <w:br/>
        <w:t>*   **Misinformation &amp; Deepfakes:** The sophistication of generative AI tools continues to fuel concerns about the spread of hyper-realistic deepfakes and AI-generated misinformation. Efforts to develop robust detection tools and content authentication standards (e.g., watermarking) are accelerating.</w:t>
        <w:br/>
        <w:t>*   **AI Safety &amp; Alignment Debates:** Discussions around AI safety, the long-term alignment of advanced AI systems with human values, and potential existential risks are intensifying, particularly as models approach capabilities that some researchers equate to "early AGI."</w:t>
        <w:br/>
        <w:br/>
        <w:t>**5. The AI Chip Race Intensifies:**</w:t>
        <w:br/>
        <w:br/>
        <w:t>*   **Beyond NVIDIA:** While NVIDIA remains a dominant force, competitors like AMD, Intel, and custom silicon initiatives from cloud providers (Google's TPUs, Amazon's Trainium/Inferentia) are making significant strides. The focus is on specialized architectures optimized for different AI workloads (training vs. inference) and improved energy efficiency.</w:t>
        <w:br/>
        <w:t>*   **Quantum AI Progress (Early Stages):** While still largely theoretical for practical applications, quantum computing research continues to make incremental progress, with some researchers exploring its potential to accelerate certain types of AI algorithms in the long term.</w:t>
        <w:br/>
        <w:br/>
        <w:t>Overall, February 2026 sees AI firmly embedded across industries, with the focus shifting from "can it do this?" to "how can it do this reliably, ethically, and efficiently at scale?" The pace of innovation shows no signs of slowing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