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79E2" w14:textId="77777777" w:rsidR="00545645" w:rsidRDefault="00000000">
      <w:pPr>
        <w:pStyle w:val="Title"/>
      </w:pPr>
      <w:r>
        <w:t>System Architecture Document</w:t>
      </w:r>
    </w:p>
    <w:p w14:paraId="731CC477" w14:textId="77777777" w:rsidR="00545645" w:rsidRDefault="00000000">
      <w:pPr>
        <w:pStyle w:val="Subtitle"/>
      </w:pPr>
      <w:r>
        <w:t>Sample Booking &amp; Reservation Platform</w:t>
      </w:r>
    </w:p>
    <w:p w14:paraId="31AA029E" w14:textId="77777777" w:rsidR="00545645" w:rsidRDefault="00000000">
      <w:r>
        <w:t>Version 1.0  |  16 September 2026  |  SYNTHETIC TEST DATA</w:t>
      </w:r>
    </w:p>
    <w:p w14:paraId="623324C3" w14:textId="77777777" w:rsidR="00545645" w:rsidRDefault="00000000">
      <w:r>
        <w:t>Purpose: Test Foreman SAD ingestion, Epic → Feature → Story/Task generation, source traceability, duplicate candidate detection, and human review. All systems and identifiers are fictional.</w:t>
      </w:r>
    </w:p>
    <w:p w14:paraId="5F1643F9" w14:textId="77777777" w:rsidR="00545645" w:rsidRDefault="00000000">
      <w:pPr>
        <w:pStyle w:val="Heading1"/>
      </w:pPr>
      <w:r>
        <w:t>1. Business context and scope</w:t>
      </w:r>
    </w:p>
    <w:p w14:paraId="743AA050" w14:textId="77777777" w:rsidR="00545645" w:rsidRDefault="00000000">
      <w:r>
        <w:t>The platform enables customers to search available appointment slots, reserve a slot, receive confirmation, and cancel an existing reservation. Operations staff need visibility into failed bookings. The initial release serves one region and supports up to 10,000 reservations per day.</w:t>
      </w:r>
    </w:p>
    <w:p w14:paraId="08251CBE" w14:textId="77777777" w:rsidR="00545645" w:rsidRDefault="00000000">
      <w:r>
        <w:t>In scope: reservation API, slot inventory, identity integration, notifications, audit trail, deployment, monitoring and tests. Out of scope: payments, multi-region active-active, and mobile applications.</w:t>
      </w:r>
    </w:p>
    <w:p w14:paraId="12CC6C49" w14:textId="77777777" w:rsidR="00545645" w:rsidRDefault="00000000">
      <w:pPr>
        <w:pStyle w:val="Heading1"/>
      </w:pPr>
      <w:r>
        <w:t>2. Architecture overview</w:t>
      </w:r>
    </w:p>
    <w:p w14:paraId="4762D608" w14:textId="77777777" w:rsidR="00545645" w:rsidRDefault="00000000">
      <w:r>
        <w:t>Clients → API Gateway → Booking API → PostgreSQL. The Booking API calls Slot Inventory Service synchronously and publishes BookingConfirmed / BookingCancelled events to an event queue. Notification Worker consumes events and sends email. An external identity provider issues JWTs. Services run as containers on Kubernetes; logs and metrics are exported to the monitoring platform.</w:t>
      </w:r>
    </w:p>
    <w:p w14:paraId="35B9BC83" w14:textId="77777777" w:rsidR="00545645" w:rsidRDefault="00000000">
      <w:pPr>
        <w:pStyle w:val="Heading1"/>
      </w:pPr>
      <w:r>
        <w:t>3. Functional requirements</w:t>
      </w:r>
    </w:p>
    <w:p w14:paraId="3181ABA2" w14:textId="77777777" w:rsidR="00545645" w:rsidRDefault="00000000">
      <w:pPr>
        <w:pStyle w:val="Heading2"/>
      </w:pPr>
      <w:r>
        <w:t>3.1 Reservation lifecycle</w:t>
      </w:r>
    </w:p>
    <w:p w14:paraId="56A2289D" w14:textId="77777777" w:rsidR="00545645" w:rsidRDefault="00000000">
      <w:r>
        <w:t>The Booking API SHALL expose POST /api/v1/reservations, GET /api/v1/reservations/{id}, and DELETE /api/v1/reservations/{id}. POST validates requested slot and customer ID, creates a reservation, and returns HTTP 201 with reservation ID. GET returns the current reservation status. DELETE cancels only active reservations and returns HTTP 204. Invalid requests return 400; missing reservations return 404.</w:t>
      </w:r>
    </w:p>
    <w:p w14:paraId="3274D9D4" w14:textId="4D44284A" w:rsidR="00125B63" w:rsidRDefault="00125B63">
      <w:r>
        <w:t>Document transit gateway</w:t>
      </w:r>
      <w:r>
        <w:br/>
      </w:r>
      <w:r>
        <w:t>Integrate baseline VPC</w:t>
      </w:r>
      <w:r>
        <w:br/>
      </w:r>
      <w:r>
        <w:t>Automate shared VPC endpoints</w:t>
      </w:r>
      <w:r>
        <w:br/>
      </w:r>
      <w:r>
        <w:t>Integrate subnet layout</w:t>
      </w:r>
    </w:p>
    <w:p w14:paraId="25FCE2CF" w14:textId="77777777" w:rsidR="00545645" w:rsidRDefault="00000000">
      <w:pPr>
        <w:pStyle w:val="Heading2"/>
      </w:pPr>
      <w:r>
        <w:t>3.2 Slot inventory and concurrency</w:t>
      </w:r>
    </w:p>
    <w:p w14:paraId="7195D585" w14:textId="77777777" w:rsidR="00545645" w:rsidRDefault="00000000">
      <w:r>
        <w:t>The Slot Inventory Service SHALL return available slots and atomically reserve one slot. Concurrent requests for the final slot must not both succeed. The Booking API must handle inventory conflicts with HTTP 409 and avoid writing a confirmed reservation.</w:t>
      </w:r>
    </w:p>
    <w:p w14:paraId="1C2D439C" w14:textId="77777777" w:rsidR="00545645" w:rsidRDefault="00000000">
      <w:pPr>
        <w:pStyle w:val="Heading2"/>
      </w:pPr>
      <w:r>
        <w:lastRenderedPageBreak/>
        <w:t>3.3 Identity and authorization</w:t>
      </w:r>
    </w:p>
    <w:p w14:paraId="0F87678E" w14:textId="77777777" w:rsidR="00545645" w:rsidRDefault="00000000">
      <w:r>
        <w:t>The API Gateway SHALL validate JWT signature, issuer, audience and expiry. Booking API SHALL allow customers to read/cancel only their own reservations. Service-to-service access SHALL use workload identity; secrets must not be embedded in images or source code.</w:t>
      </w:r>
    </w:p>
    <w:p w14:paraId="589C68AF" w14:textId="77777777" w:rsidR="00545645" w:rsidRDefault="00000000">
      <w:pPr>
        <w:pStyle w:val="Heading2"/>
      </w:pPr>
      <w:r>
        <w:t>3.4 Event-driven notifications</w:t>
      </w:r>
    </w:p>
    <w:p w14:paraId="0368E0F6" w14:textId="77777777" w:rsidR="00545645" w:rsidRDefault="00000000">
      <w:r>
        <w:t>On successful creation or cancellation, the Booking API SHALL publish a durable event with eventId, reservationId, eventType and occurredAt. Notification Worker SHALL send an email and deduplicate events by eventId. Failed deliveries SHALL be retried with exponential backoff and moved to a dead-letter queue after five attempts.</w:t>
      </w:r>
    </w:p>
    <w:p w14:paraId="698AF99B" w14:textId="77777777" w:rsidR="00545645" w:rsidRDefault="00000000">
      <w:pPr>
        <w:pStyle w:val="Heading2"/>
      </w:pPr>
      <w:r>
        <w:t>3.5 Operational audit</w:t>
      </w:r>
    </w:p>
    <w:p w14:paraId="1396B103" w14:textId="77777777" w:rsidR="00545645" w:rsidRDefault="00000000">
      <w:r>
        <w:t>The system SHALL record reservation creation, cancellation and authorization failures with actor, timestamp, correlation ID and outcome. Logs must not include JWTs, passwords or full customer contact details.</w:t>
      </w:r>
    </w:p>
    <w:p w14:paraId="171183AE" w14:textId="77777777" w:rsidR="00545645" w:rsidRDefault="00000000">
      <w:pPr>
        <w:pStyle w:val="Heading1"/>
      </w:pPr>
      <w:r>
        <w:t>4. Non-functional requirements</w:t>
      </w:r>
    </w:p>
    <w:p w14:paraId="15F5578C" w14:textId="77777777" w:rsidR="00545645" w:rsidRDefault="00000000">
      <w:pPr>
        <w:pStyle w:val="Heading2"/>
      </w:pPr>
      <w:r>
        <w:t>4.1 Reliability</w:t>
      </w:r>
    </w:p>
    <w:p w14:paraId="002C4538" w14:textId="77777777" w:rsidR="00545645" w:rsidRDefault="00000000">
      <w:r>
        <w:t>Booking API target availability is 99.9% per calendar month. HTTP request timeout is 5 seconds. Readiness probes SHALL fail when the service cannot accept traffic; graceful shutdown SHALL stop new requests and allow up to 30 seconds for in-flight work.</w:t>
      </w:r>
    </w:p>
    <w:p w14:paraId="3D682107" w14:textId="77777777" w:rsidR="00545645" w:rsidRDefault="00000000">
      <w:pPr>
        <w:pStyle w:val="Heading2"/>
      </w:pPr>
      <w:r>
        <w:t>4.2 Performance</w:t>
      </w:r>
    </w:p>
    <w:p w14:paraId="5EC7DF69" w14:textId="77777777" w:rsidR="00545645" w:rsidRDefault="00000000">
      <w:r>
        <w:t>At 100 requests per second sustained for 30 minutes, POST reservation p95 latency SHALL be under 500 ms and p99 under 1,000 ms, measured at API Gateway; error rate SHALL be below 1%, excluding expected validation and conflict responses.</w:t>
      </w:r>
    </w:p>
    <w:p w14:paraId="34D2AD84" w14:textId="77777777" w:rsidR="00545645" w:rsidRDefault="00000000">
      <w:pPr>
        <w:pStyle w:val="Heading2"/>
      </w:pPr>
      <w:r>
        <w:t>4.3 Observability</w:t>
      </w:r>
    </w:p>
    <w:p w14:paraId="115769C9" w14:textId="77777777" w:rsidR="00545645" w:rsidRDefault="00000000">
      <w:r>
        <w:t>Expose request count, duration histogram, 4xx/5xx rate, inventory conflict count, queue depth and notification retry count. Provide dashboards and alerts for elevated 5xx rate, p95 latency and dead-letter queue messages. Correlation IDs SHALL propagate across synchronous calls and events.</w:t>
      </w:r>
    </w:p>
    <w:p w14:paraId="61820CC6" w14:textId="77777777" w:rsidR="00545645" w:rsidRDefault="00000000">
      <w:pPr>
        <w:pStyle w:val="Heading2"/>
      </w:pPr>
      <w:r>
        <w:t>4.4 Data protection</w:t>
      </w:r>
    </w:p>
    <w:p w14:paraId="5530F014" w14:textId="77777777" w:rsidR="00545645" w:rsidRDefault="00000000">
      <w:r>
        <w:t>Encrypt PostgreSQL storage and backups at rest and enforce TLS in transit. Retain audit events for 90 days. Define and test a daily backup and restoration procedure with recovery point objective of 24 hours and recovery time objective of 4 hours.</w:t>
      </w:r>
    </w:p>
    <w:p w14:paraId="51771B89" w14:textId="77777777" w:rsidR="00545645" w:rsidRDefault="00000000">
      <w:pPr>
        <w:pStyle w:val="Heading1"/>
      </w:pPr>
      <w:r>
        <w:t>5. Deployment and delivery</w:t>
      </w:r>
    </w:p>
    <w:p w14:paraId="616842AA" w14:textId="77777777" w:rsidR="00545645" w:rsidRDefault="00000000">
      <w:r>
        <w:t>Provision separate development, staging and production environments with infrastructure as code. Build immutable container images, scan dependencies and images, and deploy through a reviewed CI/CD pipeline. Use rolling deployments with rollback on failed health checks. Database schema changes must be backward-compatible during rollout.</w:t>
      </w:r>
    </w:p>
    <w:p w14:paraId="77D2632C" w14:textId="77777777" w:rsidR="00545645" w:rsidRDefault="00000000">
      <w:pPr>
        <w:pStyle w:val="Heading1"/>
      </w:pPr>
      <w:r>
        <w:lastRenderedPageBreak/>
        <w:t>6. Testing and acceptance</w:t>
      </w:r>
    </w:p>
    <w:p w14:paraId="5D339302" w14:textId="77777777" w:rsidR="00545645" w:rsidRDefault="00000000">
      <w:pPr>
        <w:pStyle w:val="ListBullet"/>
      </w:pPr>
      <w:r>
        <w:t>Contract tests SHALL verify Booking API request/response schemas and inventory integration.</w:t>
      </w:r>
    </w:p>
    <w:p w14:paraId="1E9B8FAA" w14:textId="77777777" w:rsidR="00545645" w:rsidRDefault="00000000">
      <w:pPr>
        <w:pStyle w:val="ListBullet"/>
      </w:pPr>
      <w:r>
        <w:t>Integration tests SHALL verify reservation creation, cancellation, JWT authorization and event delivery.</w:t>
      </w:r>
    </w:p>
    <w:p w14:paraId="50E341BA" w14:textId="77777777" w:rsidR="00545645" w:rsidRDefault="00000000">
      <w:pPr>
        <w:pStyle w:val="ListBullet"/>
      </w:pPr>
      <w:r>
        <w:t>Concurrency tests SHALL prove that two requests cannot reserve the final slot.</w:t>
      </w:r>
    </w:p>
    <w:p w14:paraId="395D55A9" w14:textId="77777777" w:rsidR="00545645" w:rsidRDefault="00000000">
      <w:pPr>
        <w:pStyle w:val="ListBullet"/>
      </w:pPr>
      <w:r>
        <w:t>Load tests SHALL execute the 100 RPS / 30-minute scenario and report p95, p99 and error rate.</w:t>
      </w:r>
    </w:p>
    <w:p w14:paraId="4CAC0D1C" w14:textId="77777777" w:rsidR="00545645" w:rsidRDefault="00000000">
      <w:pPr>
        <w:pStyle w:val="ListBullet"/>
      </w:pPr>
      <w:r>
        <w:t>Failure tests SHALL verify queue retries, dead-letter behavior, graceful shutdown and backup restoration.</w:t>
      </w:r>
    </w:p>
    <w:p w14:paraId="7F7FC768" w14:textId="77777777" w:rsidR="00545645" w:rsidRDefault="00000000">
      <w:pPr>
        <w:pStyle w:val="Heading1"/>
      </w:pPr>
      <w:r>
        <w:t>7. Dependencies and delivery sequence</w:t>
      </w:r>
    </w:p>
    <w:p w14:paraId="6411D19F" w14:textId="77777777" w:rsidR="00545645" w:rsidRDefault="00000000">
      <w:r>
        <w:t>Establish environment and CI/CD foundations before service deployment. Identity validation and slot inventory contracts must be available before completing Booking API integration. Event schema approval precedes Notification Worker implementation. Observability instrumentation precedes load testing and production readiness review.</w:t>
      </w:r>
    </w:p>
    <w:p w14:paraId="1AA3AFE2" w14:textId="77777777" w:rsidR="00545645" w:rsidRDefault="00000000">
      <w:pPr>
        <w:pStyle w:val="Heading1"/>
      </w:pPr>
      <w:r>
        <w:t>8. Open questions requiring human review</w:t>
      </w:r>
    </w:p>
    <w:p w14:paraId="149F32E4" w14:textId="77777777" w:rsidR="00545645" w:rsidRDefault="00000000">
      <w:pPr>
        <w:pStyle w:val="ListBullet"/>
      </w:pPr>
      <w:r>
        <w:t>Which email provider and delivery SLA are approved?</w:t>
      </w:r>
    </w:p>
    <w:p w14:paraId="3A701ABD" w14:textId="77777777" w:rsidR="00545645" w:rsidRDefault="00000000">
      <w:pPr>
        <w:pStyle w:val="ListBullet"/>
      </w:pPr>
      <w:r>
        <w:t>What is the authoritative customer identity claim in the JWT?</w:t>
      </w:r>
    </w:p>
    <w:p w14:paraId="79BE8A31" w14:textId="77777777" w:rsidR="00545645" w:rsidRDefault="00000000">
      <w:pPr>
        <w:pStyle w:val="ListBullet"/>
      </w:pPr>
      <w:r>
        <w:t>Who owns the slot inventory database and schema?</w:t>
      </w:r>
    </w:p>
    <w:p w14:paraId="1DC86939" w14:textId="77777777" w:rsidR="00545645" w:rsidRDefault="00000000">
      <w:pPr>
        <w:pStyle w:val="ListBullet"/>
      </w:pPr>
      <w:r>
        <w:t>Are the proposed RPO/RTO and audit retention values approved?</w:t>
      </w:r>
    </w:p>
    <w:p w14:paraId="2C796715" w14:textId="77777777" w:rsidR="00545645" w:rsidRDefault="00000000">
      <w:pPr>
        <w:pStyle w:val="Heading1"/>
      </w:pPr>
      <w:r>
        <w:t>9. Duplicate-detection test hints</w:t>
      </w:r>
    </w:p>
    <w:p w14:paraId="48744D05" w14:textId="77777777" w:rsidR="00545645" w:rsidRDefault="00000000">
      <w:r>
        <w:t>To test overlap detection, optionally add the following SYNTHETIC existing tickets to your uploaded backlog dataset before importing this SAD. They are not evidence of actual Jira tickets.</w:t>
      </w:r>
    </w:p>
    <w:tbl>
      <w:tblPr>
        <w:tblStyle w:val="LightShading-Accent1"/>
        <w:tblW w:w="0" w:type="auto"/>
        <w:jc w:val="center"/>
        <w:tblLook w:val="04A0" w:firstRow="1" w:lastRow="0" w:firstColumn="1" w:lastColumn="0" w:noHBand="0" w:noVBand="1"/>
      </w:tblPr>
      <w:tblGrid>
        <w:gridCol w:w="2880"/>
        <w:gridCol w:w="2880"/>
        <w:gridCol w:w="2880"/>
      </w:tblGrid>
      <w:tr w:rsidR="00545645" w14:paraId="3C4AE2A7" w14:textId="77777777" w:rsidTr="00545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BBA218" w14:textId="77777777" w:rsidR="00545645" w:rsidRDefault="00000000">
            <w:r>
              <w:t>Ticket ID</w:t>
            </w:r>
          </w:p>
        </w:tc>
        <w:tc>
          <w:tcPr>
            <w:tcW w:w="2880" w:type="dxa"/>
          </w:tcPr>
          <w:p w14:paraId="29462E10" w14:textId="77777777" w:rsidR="00545645" w:rsidRDefault="00000000">
            <w:pPr>
              <w:cnfStyle w:val="100000000000" w:firstRow="1" w:lastRow="0" w:firstColumn="0" w:lastColumn="0" w:oddVBand="0" w:evenVBand="0" w:oddHBand="0" w:evenHBand="0" w:firstRowFirstColumn="0" w:firstRowLastColumn="0" w:lastRowFirstColumn="0" w:lastRowLastColumn="0"/>
            </w:pPr>
            <w:r>
              <w:t>Summary</w:t>
            </w:r>
          </w:p>
        </w:tc>
        <w:tc>
          <w:tcPr>
            <w:tcW w:w="2880" w:type="dxa"/>
          </w:tcPr>
          <w:p w14:paraId="0461F043" w14:textId="77777777" w:rsidR="00545645" w:rsidRDefault="00000000">
            <w:pPr>
              <w:cnfStyle w:val="100000000000" w:firstRow="1" w:lastRow="0" w:firstColumn="0" w:lastColumn="0" w:oddVBand="0" w:evenVBand="0" w:oddHBand="0" w:evenHBand="0" w:firstRowFirstColumn="0" w:firstRowLastColumn="0" w:lastRowFirstColumn="0" w:lastRowLastColumn="0"/>
            </w:pPr>
            <w:r>
              <w:t>Existing scope</w:t>
            </w:r>
          </w:p>
        </w:tc>
      </w:tr>
      <w:tr w:rsidR="00545645" w14:paraId="5E323358" w14:textId="77777777" w:rsidTr="00545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E5EFDF" w14:textId="77777777" w:rsidR="00545645" w:rsidRDefault="00000000">
            <w:r>
              <w:t>DEMO-101</w:t>
            </w:r>
          </w:p>
        </w:tc>
        <w:tc>
          <w:tcPr>
            <w:tcW w:w="2880" w:type="dxa"/>
          </w:tcPr>
          <w:p w14:paraId="532FF143" w14:textId="77777777" w:rsidR="00545645" w:rsidRDefault="00000000">
            <w:pPr>
              <w:cnfStyle w:val="000000100000" w:firstRow="0" w:lastRow="0" w:firstColumn="0" w:lastColumn="0" w:oddVBand="0" w:evenVBand="0" w:oddHBand="1" w:evenHBand="0" w:firstRowFirstColumn="0" w:firstRowLastColumn="0" w:lastRowFirstColumn="0" w:lastRowLastColumn="0"/>
            </w:pPr>
            <w:r>
              <w:t>Implement JWT validation at API Gateway</w:t>
            </w:r>
          </w:p>
        </w:tc>
        <w:tc>
          <w:tcPr>
            <w:tcW w:w="2880" w:type="dxa"/>
          </w:tcPr>
          <w:p w14:paraId="71477A78" w14:textId="77777777" w:rsidR="00545645" w:rsidRDefault="00000000">
            <w:pPr>
              <w:cnfStyle w:val="000000100000" w:firstRow="0" w:lastRow="0" w:firstColumn="0" w:lastColumn="0" w:oddVBand="0" w:evenVBand="0" w:oddHBand="1" w:evenHBand="0" w:firstRowFirstColumn="0" w:firstRowLastColumn="0" w:lastRowFirstColumn="0" w:lastRowLastColumn="0"/>
            </w:pPr>
            <w:r>
              <w:t>Validate issuer, audience, signature and expiry for incoming JWTs.</w:t>
            </w:r>
          </w:p>
        </w:tc>
      </w:tr>
      <w:tr w:rsidR="00545645" w14:paraId="67028D65" w14:textId="77777777" w:rsidTr="0054564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6E8AA95" w14:textId="77777777" w:rsidR="00545645" w:rsidRDefault="00000000">
            <w:r>
              <w:t>DEMO-102</w:t>
            </w:r>
          </w:p>
        </w:tc>
        <w:tc>
          <w:tcPr>
            <w:tcW w:w="2880" w:type="dxa"/>
          </w:tcPr>
          <w:p w14:paraId="66E4FA62" w14:textId="77777777" w:rsidR="00545645" w:rsidRDefault="00000000">
            <w:pPr>
              <w:cnfStyle w:val="000000000000" w:firstRow="0" w:lastRow="0" w:firstColumn="0" w:lastColumn="0" w:oddVBand="0" w:evenVBand="0" w:oddHBand="0" w:evenHBand="0" w:firstRowFirstColumn="0" w:firstRowLastColumn="0" w:lastRowFirstColumn="0" w:lastRowLastColumn="0"/>
            </w:pPr>
            <w:r>
              <w:t>Booking API reservation creation endpoint</w:t>
            </w:r>
          </w:p>
        </w:tc>
        <w:tc>
          <w:tcPr>
            <w:tcW w:w="2880" w:type="dxa"/>
          </w:tcPr>
          <w:p w14:paraId="79665CC9" w14:textId="77777777" w:rsidR="00545645" w:rsidRDefault="00000000">
            <w:pPr>
              <w:cnfStyle w:val="000000000000" w:firstRow="0" w:lastRow="0" w:firstColumn="0" w:lastColumn="0" w:oddVBand="0" w:evenVBand="0" w:oddHBand="0" w:evenHBand="0" w:firstRowFirstColumn="0" w:firstRowLastColumn="0" w:lastRowFirstColumn="0" w:lastRowLastColumn="0"/>
            </w:pPr>
            <w:r>
              <w:t>POST reservation with slot validation and HTTP 201 response.</w:t>
            </w:r>
          </w:p>
        </w:tc>
      </w:tr>
      <w:tr w:rsidR="00545645" w14:paraId="5B444CEF" w14:textId="77777777" w:rsidTr="00545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F737A0" w14:textId="77777777" w:rsidR="00545645" w:rsidRDefault="00000000">
            <w:r>
              <w:t>DEMO-103</w:t>
            </w:r>
          </w:p>
        </w:tc>
        <w:tc>
          <w:tcPr>
            <w:tcW w:w="2880" w:type="dxa"/>
          </w:tcPr>
          <w:p w14:paraId="121DF076" w14:textId="77777777" w:rsidR="00545645" w:rsidRDefault="00000000">
            <w:pPr>
              <w:cnfStyle w:val="000000100000" w:firstRow="0" w:lastRow="0" w:firstColumn="0" w:lastColumn="0" w:oddVBand="0" w:evenVBand="0" w:oddHBand="1" w:evenHBand="0" w:firstRowFirstColumn="0" w:firstRowLastColumn="0" w:lastRowFirstColumn="0" w:lastRowLastColumn="0"/>
            </w:pPr>
            <w:r>
              <w:t>Notification dead-letter queue</w:t>
            </w:r>
          </w:p>
        </w:tc>
        <w:tc>
          <w:tcPr>
            <w:tcW w:w="2880" w:type="dxa"/>
          </w:tcPr>
          <w:p w14:paraId="219E9199" w14:textId="77777777" w:rsidR="00545645" w:rsidRDefault="00000000">
            <w:pPr>
              <w:cnfStyle w:val="000000100000" w:firstRow="0" w:lastRow="0" w:firstColumn="0" w:lastColumn="0" w:oddVBand="0" w:evenVBand="0" w:oddHBand="1" w:evenHBand="0" w:firstRowFirstColumn="0" w:firstRowLastColumn="0" w:lastRowFirstColumn="0" w:lastRowLastColumn="0"/>
            </w:pPr>
            <w:r>
              <w:t>Route notification messages to DLQ after five delivery attempts.</w:t>
            </w:r>
          </w:p>
        </w:tc>
      </w:tr>
    </w:tbl>
    <w:p w14:paraId="6648490F" w14:textId="77777777" w:rsidR="00545645" w:rsidRDefault="00000000">
      <w:r>
        <w:t>Expected behavior: Foreman may surface these as potential overlaps for sections 3.3, 3.1 and 3.4 respectively. Similarity alone must not automatically merge, discard or publish tickets.</w:t>
      </w:r>
    </w:p>
    <w:p w14:paraId="7E27B54A" w14:textId="77777777" w:rsidR="00545645" w:rsidRDefault="00000000">
      <w:pPr>
        <w:pStyle w:val="Heading1"/>
      </w:pPr>
      <w:r>
        <w:t>10. Expected review outcomes</w:t>
      </w:r>
    </w:p>
    <w:p w14:paraId="5462C6DA" w14:textId="77777777" w:rsidR="00545645" w:rsidRDefault="00000000">
      <w:r>
        <w:t>A useful generated proposal could group work into Epics such as Reservation Management, Security &amp; Identity, Messaging &amp; Notifications, and Platform Operations. Features and Stories/Tasks should map back to specific numbered SAD sections. These are illustrative expectations, not a fixed required AI output.</w:t>
      </w:r>
    </w:p>
    <w:p w14:paraId="6C73737B" w14:textId="77777777" w:rsidR="00545645" w:rsidRDefault="00000000">
      <w:r>
        <w:lastRenderedPageBreak/>
        <w:t>Do not publish directly to Jira during this test. Review draft hierarchy, candidate duplicates, missing story points, acceptance criteria and unsupported Jira issue types (especially Feature) before approval.</w:t>
      </w:r>
    </w:p>
    <w:sectPr w:rsidR="00545645" w:rsidSect="00034616">
      <w:headerReference w:type="default" r:id="rId8"/>
      <w:footerReference w:type="even" r:id="rId9"/>
      <w:footerReference w:type="default" r:id="rId10"/>
      <w:footerReference w:type="first" r:id="rId11"/>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6C89" w14:textId="77777777" w:rsidR="00802CE1" w:rsidRDefault="00802CE1">
      <w:pPr>
        <w:spacing w:after="0" w:line="240" w:lineRule="auto"/>
      </w:pPr>
      <w:r>
        <w:separator/>
      </w:r>
    </w:p>
  </w:endnote>
  <w:endnote w:type="continuationSeparator" w:id="0">
    <w:p w14:paraId="56C24E06" w14:textId="77777777" w:rsidR="00802CE1" w:rsidRDefault="0080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0543" w14:textId="14A5F199" w:rsidR="00125B63" w:rsidRDefault="00125B63">
    <w:pPr>
      <w:pStyle w:val="Footer"/>
    </w:pPr>
    <w:r>
      <w:rPr>
        <w:noProof/>
      </w:rPr>
      <mc:AlternateContent>
        <mc:Choice Requires="wps">
          <w:drawing>
            <wp:anchor distT="0" distB="0" distL="0" distR="0" simplePos="0" relativeHeight="251659264" behindDoc="0" locked="0" layoutInCell="1" allowOverlap="1" wp14:anchorId="3D3238FF" wp14:editId="7B4AAF31">
              <wp:simplePos x="635" y="635"/>
              <wp:positionH relativeFrom="page">
                <wp:align>left</wp:align>
              </wp:positionH>
              <wp:positionV relativeFrom="page">
                <wp:align>bottom</wp:align>
              </wp:positionV>
              <wp:extent cx="756920" cy="325120"/>
              <wp:effectExtent l="0" t="0" r="5080" b="0"/>
              <wp:wrapNone/>
              <wp:docPr id="160680204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4806977F" w14:textId="3FEEC5F8" w:rsidR="00125B63" w:rsidRPr="00125B63" w:rsidRDefault="00125B63" w:rsidP="00125B63">
                          <w:pPr>
                            <w:spacing w:after="0"/>
                            <w:rPr>
                              <w:rFonts w:ascii="Arial" w:eastAsia="Arial" w:hAnsi="Arial" w:cs="Arial"/>
                              <w:noProof/>
                              <w:color w:val="000000"/>
                              <w:sz w:val="16"/>
                              <w:szCs w:val="16"/>
                            </w:rPr>
                          </w:pPr>
                          <w:r w:rsidRPr="00125B6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3238FF" id="_x0000_t202" coordsize="21600,21600" o:spt="202" path="m,l,21600r21600,l21600,xe">
              <v:stroke joinstyle="miter"/>
              <v:path gradientshapeok="t" o:connecttype="rect"/>
            </v:shapetype>
            <v:shape id="Text Box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fill o:detectmouseclick="t"/>
              <v:textbox style="mso-fit-shape-to-text:t" inset="20pt,0,0,15pt">
                <w:txbxContent>
                  <w:p w14:paraId="4806977F" w14:textId="3FEEC5F8" w:rsidR="00125B63" w:rsidRPr="00125B63" w:rsidRDefault="00125B63" w:rsidP="00125B63">
                    <w:pPr>
                      <w:spacing w:after="0"/>
                      <w:rPr>
                        <w:rFonts w:ascii="Arial" w:eastAsia="Arial" w:hAnsi="Arial" w:cs="Arial"/>
                        <w:noProof/>
                        <w:color w:val="000000"/>
                        <w:sz w:val="16"/>
                        <w:szCs w:val="16"/>
                      </w:rPr>
                    </w:pPr>
                    <w:r w:rsidRPr="00125B63">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F6C5F" w14:textId="77184563" w:rsidR="00545645" w:rsidRDefault="00125B63">
    <w:pPr>
      <w:pStyle w:val="Footer"/>
      <w:jc w:val="center"/>
    </w:pPr>
    <w:r>
      <w:rPr>
        <w:noProof/>
      </w:rPr>
      <mc:AlternateContent>
        <mc:Choice Requires="wps">
          <w:drawing>
            <wp:anchor distT="0" distB="0" distL="0" distR="0" simplePos="0" relativeHeight="251660288" behindDoc="0" locked="0" layoutInCell="1" allowOverlap="1" wp14:anchorId="792AE3DE" wp14:editId="321B697B">
              <wp:simplePos x="1144988" y="9446150"/>
              <wp:positionH relativeFrom="page">
                <wp:align>left</wp:align>
              </wp:positionH>
              <wp:positionV relativeFrom="page">
                <wp:align>bottom</wp:align>
              </wp:positionV>
              <wp:extent cx="756920" cy="325120"/>
              <wp:effectExtent l="0" t="0" r="5080" b="0"/>
              <wp:wrapNone/>
              <wp:docPr id="27512872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2239D85B" w14:textId="202DEB89" w:rsidR="00125B63" w:rsidRPr="00125B63" w:rsidRDefault="00125B63" w:rsidP="00125B63">
                          <w:pPr>
                            <w:spacing w:after="0"/>
                            <w:rPr>
                              <w:rFonts w:ascii="Arial" w:eastAsia="Arial" w:hAnsi="Arial" w:cs="Arial"/>
                              <w:noProof/>
                              <w:color w:val="000000"/>
                              <w:sz w:val="16"/>
                              <w:szCs w:val="16"/>
                            </w:rPr>
                          </w:pPr>
                          <w:r w:rsidRPr="00125B6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2AE3DE" id="_x0000_t202" coordsize="21600,21600" o:spt="202" path="m,l,21600r21600,l21600,xe">
              <v:stroke joinstyle="miter"/>
              <v:path gradientshapeok="t" o:connecttype="rect"/>
            </v:shapetype>
            <v:shape id="Text Box 3" o:spid="_x0000_s1027" type="#_x0000_t202" alt="INTERNAL" style="position:absolute;left:0;text-align:left;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fill o:detectmouseclick="t"/>
              <v:textbox style="mso-fit-shape-to-text:t" inset="20pt,0,0,15pt">
                <w:txbxContent>
                  <w:p w14:paraId="2239D85B" w14:textId="202DEB89" w:rsidR="00125B63" w:rsidRPr="00125B63" w:rsidRDefault="00125B63" w:rsidP="00125B63">
                    <w:pPr>
                      <w:spacing w:after="0"/>
                      <w:rPr>
                        <w:rFonts w:ascii="Arial" w:eastAsia="Arial" w:hAnsi="Arial" w:cs="Arial"/>
                        <w:noProof/>
                        <w:color w:val="000000"/>
                        <w:sz w:val="16"/>
                        <w:szCs w:val="16"/>
                      </w:rPr>
                    </w:pPr>
                    <w:r w:rsidRPr="00125B63">
                      <w:rPr>
                        <w:rFonts w:ascii="Arial" w:eastAsia="Arial" w:hAnsi="Arial" w:cs="Arial"/>
                        <w:noProof/>
                        <w:color w:val="000000"/>
                        <w:sz w:val="16"/>
                        <w:szCs w:val="16"/>
                      </w:rPr>
                      <w:t>INTERNAL</w:t>
                    </w:r>
                  </w:p>
                </w:txbxContent>
              </v:textbox>
              <w10:wrap anchorx="page" anchory="page"/>
            </v:shape>
          </w:pict>
        </mc:Fallback>
      </mc:AlternateContent>
    </w:r>
    <w:r w:rsidR="00000000">
      <w:t>Synthetic sample • Foreman SAD workflow test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336F" w14:textId="156C1A0C" w:rsidR="00125B63" w:rsidRDefault="00125B63">
    <w:pPr>
      <w:pStyle w:val="Footer"/>
    </w:pPr>
    <w:r>
      <w:rPr>
        <w:noProof/>
      </w:rPr>
      <mc:AlternateContent>
        <mc:Choice Requires="wps">
          <w:drawing>
            <wp:anchor distT="0" distB="0" distL="0" distR="0" simplePos="0" relativeHeight="251658240" behindDoc="0" locked="0" layoutInCell="1" allowOverlap="1" wp14:anchorId="6F2FF192" wp14:editId="298F8EFD">
              <wp:simplePos x="635" y="635"/>
              <wp:positionH relativeFrom="page">
                <wp:align>left</wp:align>
              </wp:positionH>
              <wp:positionV relativeFrom="page">
                <wp:align>bottom</wp:align>
              </wp:positionV>
              <wp:extent cx="756920" cy="325120"/>
              <wp:effectExtent l="0" t="0" r="5080" b="0"/>
              <wp:wrapNone/>
              <wp:docPr id="40855314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06E75BE1" w14:textId="74BC8573" w:rsidR="00125B63" w:rsidRPr="00125B63" w:rsidRDefault="00125B63" w:rsidP="00125B63">
                          <w:pPr>
                            <w:spacing w:after="0"/>
                            <w:rPr>
                              <w:rFonts w:ascii="Arial" w:eastAsia="Arial" w:hAnsi="Arial" w:cs="Arial"/>
                              <w:noProof/>
                              <w:color w:val="000000"/>
                              <w:sz w:val="16"/>
                              <w:szCs w:val="16"/>
                            </w:rPr>
                          </w:pPr>
                          <w:r w:rsidRPr="00125B6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2FF192" id="_x0000_t202" coordsize="21600,21600" o:spt="202" path="m,l,21600r21600,l21600,xe">
              <v:stroke joinstyle="miter"/>
              <v:path gradientshapeok="t" o:connecttype="rect"/>
            </v:shapetype>
            <v:shape id="Text Box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filled="f" stroked="f">
              <v:fill o:detectmouseclick="t"/>
              <v:textbox style="mso-fit-shape-to-text:t" inset="20pt,0,0,15pt">
                <w:txbxContent>
                  <w:p w14:paraId="06E75BE1" w14:textId="74BC8573" w:rsidR="00125B63" w:rsidRPr="00125B63" w:rsidRDefault="00125B63" w:rsidP="00125B63">
                    <w:pPr>
                      <w:spacing w:after="0"/>
                      <w:rPr>
                        <w:rFonts w:ascii="Arial" w:eastAsia="Arial" w:hAnsi="Arial" w:cs="Arial"/>
                        <w:noProof/>
                        <w:color w:val="000000"/>
                        <w:sz w:val="16"/>
                        <w:szCs w:val="16"/>
                      </w:rPr>
                    </w:pPr>
                    <w:r w:rsidRPr="00125B63">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58B2" w14:textId="77777777" w:rsidR="00802CE1" w:rsidRDefault="00802CE1">
      <w:pPr>
        <w:spacing w:after="0" w:line="240" w:lineRule="auto"/>
      </w:pPr>
      <w:r>
        <w:separator/>
      </w:r>
    </w:p>
  </w:footnote>
  <w:footnote w:type="continuationSeparator" w:id="0">
    <w:p w14:paraId="6B1A1409" w14:textId="77777777" w:rsidR="00802CE1" w:rsidRDefault="00802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8BB8" w14:textId="77777777" w:rsidR="00545645" w:rsidRDefault="00000000">
    <w:pPr>
      <w:pStyle w:val="Header"/>
    </w:pPr>
    <w:r>
      <w:t>FOREMAN  /  SAMPLE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832443">
    <w:abstractNumId w:val="8"/>
  </w:num>
  <w:num w:numId="2" w16cid:durableId="883980737">
    <w:abstractNumId w:val="6"/>
  </w:num>
  <w:num w:numId="3" w16cid:durableId="1560674476">
    <w:abstractNumId w:val="5"/>
  </w:num>
  <w:num w:numId="4" w16cid:durableId="1040083147">
    <w:abstractNumId w:val="4"/>
  </w:num>
  <w:num w:numId="5" w16cid:durableId="2089039462">
    <w:abstractNumId w:val="7"/>
  </w:num>
  <w:num w:numId="6" w16cid:durableId="290404107">
    <w:abstractNumId w:val="3"/>
  </w:num>
  <w:num w:numId="7" w16cid:durableId="503908666">
    <w:abstractNumId w:val="2"/>
  </w:num>
  <w:num w:numId="8" w16cid:durableId="142285419">
    <w:abstractNumId w:val="1"/>
  </w:num>
  <w:num w:numId="9" w16cid:durableId="171731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B63"/>
    <w:rsid w:val="0015074B"/>
    <w:rsid w:val="0029639D"/>
    <w:rsid w:val="00326F90"/>
    <w:rsid w:val="00545645"/>
    <w:rsid w:val="00802CE1"/>
    <w:rsid w:val="00AA1D8D"/>
    <w:rsid w:val="00B47730"/>
    <w:rsid w:val="00CB0664"/>
    <w:rsid w:val="00E92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C0968"/>
  <w14:defaultImageDpi w14:val="300"/>
  <w15:docId w15:val="{F5E742C9-A19A-4AE2-B16B-BAF2BE7A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2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963</Words>
  <Characters>5971</Characters>
  <Application>Microsoft Office Word</Application>
  <DocSecurity>0</DocSecurity>
  <Lines>114</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Jain, Anant (Digital Solutions IN I-DK-X)</cp:lastModifiedBy>
  <cp:revision>2</cp:revision>
  <dcterms:created xsi:type="dcterms:W3CDTF">2013-12-23T23:15:00Z</dcterms:created>
  <dcterms:modified xsi:type="dcterms:W3CDTF">2026-09-17T09:25:00Z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185a06b4,5fc5da7b,10662191</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