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F612B" w14:textId="5EF4F29C" w:rsidR="00435BD2" w:rsidRPr="00435BD2" w:rsidRDefault="00435BD2" w:rsidP="00435BD2">
      <w:pPr>
        <w:pStyle w:val="IntenseQuote"/>
        <w:rPr>
          <w:sz w:val="72"/>
          <w:szCs w:val="72"/>
        </w:rPr>
      </w:pPr>
      <w:r w:rsidRPr="00435BD2">
        <w:rPr>
          <w:sz w:val="72"/>
          <w:szCs w:val="72"/>
        </w:rPr>
        <w:t>Project Report:</w:t>
      </w:r>
    </w:p>
    <w:p w14:paraId="6192528C" w14:textId="68A5BCF8" w:rsidR="00435BD2" w:rsidRDefault="00435BD2" w:rsidP="00435BD2">
      <w:pPr>
        <w:jc w:val="center"/>
        <w:rPr>
          <w:rStyle w:val="Strong"/>
          <w:sz w:val="40"/>
          <w:szCs w:val="40"/>
        </w:rPr>
      </w:pPr>
      <w:r w:rsidRPr="00435BD2">
        <w:rPr>
          <w:rStyle w:val="Strong"/>
          <w:sz w:val="40"/>
          <w:szCs w:val="40"/>
        </w:rPr>
        <w:t>Health Care Data Management Dashboard</w:t>
      </w:r>
    </w:p>
    <w:p w14:paraId="03948BDD" w14:textId="77777777" w:rsidR="00435BD2" w:rsidRDefault="00435BD2" w:rsidP="00435BD2">
      <w:pPr>
        <w:rPr>
          <w:rStyle w:val="Strong"/>
          <w:sz w:val="40"/>
          <w:szCs w:val="40"/>
        </w:rPr>
      </w:pPr>
    </w:p>
    <w:p w14:paraId="26A9A743" w14:textId="77777777" w:rsidR="00435BD2" w:rsidRPr="00D66898" w:rsidRDefault="00435BD2" w:rsidP="00435BD2">
      <w:pPr>
        <w:rPr>
          <w:rFonts w:ascii="Arial Black" w:hAnsi="Arial Black"/>
          <w:sz w:val="24"/>
          <w:szCs w:val="24"/>
          <w:lang w:val="en-US"/>
        </w:rPr>
      </w:pPr>
      <w:r w:rsidRPr="00D66898">
        <w:rPr>
          <w:rFonts w:ascii="Arial Black" w:hAnsi="Arial Black"/>
          <w:b/>
          <w:bCs/>
          <w:sz w:val="24"/>
          <w:szCs w:val="24"/>
          <w:lang w:val="en-US"/>
        </w:rPr>
        <w:t>Name</w:t>
      </w:r>
      <w:r w:rsidRPr="00D66898">
        <w:rPr>
          <w:rFonts w:ascii="Arial Black" w:hAnsi="Arial Black"/>
          <w:sz w:val="24"/>
          <w:szCs w:val="24"/>
          <w:lang w:val="en-US"/>
        </w:rPr>
        <w:t xml:space="preserve"> – Aniket Nitin Mahadik</w:t>
      </w:r>
    </w:p>
    <w:p w14:paraId="55828FC7" w14:textId="47772FFF" w:rsidR="00435BD2" w:rsidRPr="00D66898" w:rsidRDefault="00435BD2" w:rsidP="00435BD2">
      <w:pPr>
        <w:rPr>
          <w:rFonts w:ascii="Arial Black" w:hAnsi="Arial Black"/>
          <w:b/>
          <w:bCs/>
          <w:i/>
          <w:iCs/>
          <w:spacing w:val="5"/>
          <w:sz w:val="32"/>
          <w:szCs w:val="32"/>
        </w:rPr>
      </w:pPr>
      <w:r w:rsidRPr="00D66898">
        <w:rPr>
          <w:rFonts w:ascii="Arial Black" w:hAnsi="Arial Black"/>
          <w:b/>
          <w:bCs/>
          <w:sz w:val="24"/>
          <w:szCs w:val="24"/>
          <w:lang w:val="en-US"/>
        </w:rPr>
        <w:t>Project</w:t>
      </w:r>
      <w:r w:rsidRPr="00D66898">
        <w:rPr>
          <w:rFonts w:ascii="Arial Black" w:hAnsi="Arial Black"/>
          <w:b/>
          <w:sz w:val="24"/>
          <w:szCs w:val="24"/>
          <w:lang w:val="en-US"/>
        </w:rPr>
        <w:t xml:space="preserve"> Title</w:t>
      </w:r>
      <w:r w:rsidRPr="00D66898">
        <w:rPr>
          <w:rFonts w:ascii="Arial Black" w:hAnsi="Arial Black"/>
          <w:sz w:val="24"/>
          <w:szCs w:val="24"/>
          <w:lang w:val="en-US"/>
        </w:rPr>
        <w:t xml:space="preserve"> – </w:t>
      </w:r>
      <w:r w:rsidRPr="00D66898">
        <w:rPr>
          <w:rFonts w:ascii="Arial Black" w:hAnsi="Arial Black"/>
          <w:sz w:val="24"/>
          <w:szCs w:val="24"/>
          <w:lang w:val="en-US"/>
        </w:rPr>
        <w:t>health care data management</w:t>
      </w:r>
    </w:p>
    <w:p w14:paraId="0CD2A85A" w14:textId="48A8F775" w:rsidR="00435BD2" w:rsidRPr="00D66898" w:rsidRDefault="00435BD2" w:rsidP="00435BD2">
      <w:pPr>
        <w:rPr>
          <w:rFonts w:ascii="Arial Black" w:hAnsi="Arial Black"/>
          <w:sz w:val="24"/>
          <w:szCs w:val="24"/>
          <w:lang w:val="en-US"/>
        </w:rPr>
      </w:pPr>
      <w:r w:rsidRPr="00D66898">
        <w:rPr>
          <w:rFonts w:ascii="Arial Black" w:hAnsi="Arial Black"/>
          <w:b/>
          <w:bCs/>
          <w:sz w:val="24"/>
          <w:szCs w:val="24"/>
          <w:lang w:val="en-US"/>
        </w:rPr>
        <w:t>Date</w:t>
      </w:r>
      <w:r w:rsidRPr="00D66898">
        <w:rPr>
          <w:rFonts w:ascii="Arial Black" w:hAnsi="Arial Black"/>
          <w:sz w:val="24"/>
          <w:szCs w:val="24"/>
          <w:lang w:val="en-US"/>
        </w:rPr>
        <w:t xml:space="preserve"> – 2</w:t>
      </w:r>
      <w:r w:rsidRPr="00D66898">
        <w:rPr>
          <w:rFonts w:ascii="Arial Black" w:hAnsi="Arial Black"/>
          <w:sz w:val="24"/>
          <w:szCs w:val="24"/>
          <w:lang w:val="en-US"/>
        </w:rPr>
        <w:t>8oct</w:t>
      </w:r>
      <w:r w:rsidRPr="00D66898">
        <w:rPr>
          <w:rFonts w:ascii="Arial Black" w:hAnsi="Arial Black"/>
          <w:sz w:val="24"/>
          <w:szCs w:val="24"/>
          <w:lang w:val="en-US"/>
        </w:rPr>
        <w:t xml:space="preserve"> 2024</w:t>
      </w:r>
    </w:p>
    <w:p w14:paraId="08913D1F" w14:textId="5073DF20" w:rsidR="00435BD2" w:rsidRPr="00D66898" w:rsidRDefault="00435BD2" w:rsidP="00435BD2">
      <w:pPr>
        <w:rPr>
          <w:rFonts w:ascii="Arial Black" w:hAnsi="Arial Black"/>
          <w:sz w:val="24"/>
          <w:szCs w:val="24"/>
          <w:lang w:val="en-US"/>
        </w:rPr>
      </w:pPr>
      <w:r w:rsidRPr="00D66898">
        <w:rPr>
          <w:rFonts w:ascii="Arial Black" w:hAnsi="Arial Black"/>
          <w:b/>
          <w:bCs/>
          <w:sz w:val="24"/>
          <w:szCs w:val="24"/>
          <w:lang w:val="en-US"/>
        </w:rPr>
        <w:t>Technology</w:t>
      </w:r>
      <w:r w:rsidRPr="00D66898">
        <w:rPr>
          <w:rFonts w:ascii="Arial Black" w:hAnsi="Arial Black"/>
          <w:sz w:val="24"/>
          <w:szCs w:val="24"/>
          <w:lang w:val="en-US"/>
        </w:rPr>
        <w:t xml:space="preserve"> – </w:t>
      </w:r>
      <w:r w:rsidRPr="00D66898">
        <w:rPr>
          <w:rFonts w:ascii="Arial Black" w:hAnsi="Arial Black"/>
          <w:sz w:val="24"/>
          <w:szCs w:val="24"/>
          <w:lang w:val="en-US"/>
        </w:rPr>
        <w:t>Power Bi</w:t>
      </w:r>
    </w:p>
    <w:p w14:paraId="46E2791F" w14:textId="49313AC3" w:rsidR="00435BD2" w:rsidRPr="00D66898" w:rsidRDefault="00435BD2" w:rsidP="00435BD2">
      <w:pPr>
        <w:rPr>
          <w:rFonts w:ascii="Arial Black" w:hAnsi="Arial Black"/>
          <w:sz w:val="24"/>
          <w:szCs w:val="24"/>
          <w:lang w:val="en-US"/>
        </w:rPr>
      </w:pPr>
      <w:r w:rsidRPr="00D66898">
        <w:rPr>
          <w:rFonts w:ascii="Arial Black" w:hAnsi="Arial Black"/>
          <w:b/>
          <w:bCs/>
          <w:sz w:val="24"/>
          <w:szCs w:val="24"/>
          <w:lang w:val="en-US"/>
        </w:rPr>
        <w:t xml:space="preserve">Tools- </w:t>
      </w:r>
      <w:r w:rsidR="00D66898" w:rsidRPr="00D66898">
        <w:rPr>
          <w:rFonts w:ascii="Arial Black" w:hAnsi="Arial Black"/>
          <w:b/>
          <w:bCs/>
          <w:sz w:val="24"/>
          <w:szCs w:val="24"/>
          <w:lang w:val="en-US"/>
        </w:rPr>
        <w:t>power bi visualization tools</w:t>
      </w:r>
    </w:p>
    <w:p w14:paraId="18BC7DE5" w14:textId="1B3915AF" w:rsidR="00D66898" w:rsidRDefault="00D66898" w:rsidP="00435BD2">
      <w:pPr>
        <w:jc w:val="both"/>
        <w:rPr>
          <w:rStyle w:val="Strong"/>
          <w:sz w:val="40"/>
          <w:szCs w:val="40"/>
        </w:rPr>
      </w:pPr>
      <w:r w:rsidRPr="00435BD2">
        <w:pict w14:anchorId="5D8D9279">
          <v:rect id="_x0000_i1055" style="width:0;height:1.5pt" o:hralign="center" o:hrstd="t" o:hr="t" fillcolor="#a0a0a0" stroked="f"/>
        </w:pict>
      </w:r>
    </w:p>
    <w:p w14:paraId="45759FE6" w14:textId="0561EC8D" w:rsidR="00435BD2" w:rsidRPr="00435BD2" w:rsidRDefault="00435BD2" w:rsidP="00435BD2">
      <w:pPr>
        <w:jc w:val="both"/>
        <w:rPr>
          <w:rFonts w:ascii="Arial Black" w:hAnsi="Arial Black"/>
          <w:b/>
          <w:bCs/>
          <w:sz w:val="40"/>
          <w:szCs w:val="40"/>
        </w:rPr>
      </w:pPr>
      <w:r w:rsidRPr="00435BD2">
        <w:rPr>
          <w:rFonts w:ascii="Arial Black" w:hAnsi="Arial Black"/>
          <w:b/>
          <w:bCs/>
          <w:sz w:val="40"/>
          <w:szCs w:val="40"/>
        </w:rPr>
        <w:t>Project Overview</w:t>
      </w:r>
    </w:p>
    <w:p w14:paraId="4C8408A1" w14:textId="77777777" w:rsidR="00435BD2" w:rsidRPr="00435BD2" w:rsidRDefault="00435BD2" w:rsidP="00435BD2">
      <w:pPr>
        <w:jc w:val="both"/>
      </w:pPr>
      <w:r w:rsidRPr="00435BD2">
        <w:rPr>
          <w:sz w:val="24"/>
          <w:szCs w:val="24"/>
        </w:rPr>
        <w:t>The Health Care Data Management Dashboard project is designed to analyze and visualize key healthcare metrics, including bed occupancy rates, patient feedback for doctors, and insurance-related financial data. The dashboards provide valuable insights for healthcare administrators, enabling them to monitor occupancy trends, manage patient care feedback, and assess financial aspects related to billing and insurance claims</w:t>
      </w:r>
      <w:r w:rsidRPr="00435BD2">
        <w:t>.</w:t>
      </w:r>
    </w:p>
    <w:p w14:paraId="004BECAC" w14:textId="77777777" w:rsidR="00435BD2" w:rsidRPr="00435BD2" w:rsidRDefault="00435BD2" w:rsidP="00435BD2">
      <w:pPr>
        <w:jc w:val="both"/>
        <w:rPr>
          <w:b/>
          <w:bCs/>
          <w:sz w:val="32"/>
          <w:szCs w:val="32"/>
        </w:rPr>
      </w:pPr>
      <w:r w:rsidRPr="00435BD2">
        <w:rPr>
          <w:b/>
          <w:bCs/>
          <w:sz w:val="32"/>
          <w:szCs w:val="32"/>
        </w:rPr>
        <w:t>Key Objectives:</w:t>
      </w:r>
    </w:p>
    <w:p w14:paraId="7BC33056" w14:textId="77777777" w:rsidR="00435BD2" w:rsidRPr="00435BD2" w:rsidRDefault="00435BD2" w:rsidP="00435BD2">
      <w:pPr>
        <w:numPr>
          <w:ilvl w:val="0"/>
          <w:numId w:val="1"/>
        </w:numPr>
        <w:tabs>
          <w:tab w:val="num" w:pos="720"/>
        </w:tabs>
        <w:jc w:val="both"/>
        <w:rPr>
          <w:sz w:val="28"/>
          <w:szCs w:val="28"/>
        </w:rPr>
      </w:pPr>
      <w:r w:rsidRPr="00435BD2">
        <w:rPr>
          <w:sz w:val="28"/>
          <w:szCs w:val="28"/>
        </w:rPr>
        <w:t>To monitor and analyze bed occupancy by type (Private, General, and ICU) and patient diagnosis.</w:t>
      </w:r>
    </w:p>
    <w:p w14:paraId="0A2259BE" w14:textId="77777777" w:rsidR="00435BD2" w:rsidRPr="00435BD2" w:rsidRDefault="00435BD2" w:rsidP="00435BD2">
      <w:pPr>
        <w:numPr>
          <w:ilvl w:val="0"/>
          <w:numId w:val="1"/>
        </w:numPr>
        <w:tabs>
          <w:tab w:val="num" w:pos="720"/>
        </w:tabs>
        <w:jc w:val="both"/>
        <w:rPr>
          <w:sz w:val="28"/>
          <w:szCs w:val="28"/>
        </w:rPr>
      </w:pPr>
      <w:r w:rsidRPr="00435BD2">
        <w:rPr>
          <w:sz w:val="28"/>
          <w:szCs w:val="28"/>
        </w:rPr>
        <w:t>To track patient feedback volume for doctors to assess the quality of care.</w:t>
      </w:r>
    </w:p>
    <w:p w14:paraId="62D991AF" w14:textId="77777777" w:rsidR="00435BD2" w:rsidRPr="00435BD2" w:rsidRDefault="00435BD2" w:rsidP="00435BD2">
      <w:pPr>
        <w:numPr>
          <w:ilvl w:val="0"/>
          <w:numId w:val="1"/>
        </w:numPr>
        <w:tabs>
          <w:tab w:val="num" w:pos="720"/>
        </w:tabs>
        <w:jc w:val="both"/>
      </w:pPr>
      <w:r w:rsidRPr="00435BD2">
        <w:rPr>
          <w:sz w:val="28"/>
          <w:szCs w:val="28"/>
        </w:rPr>
        <w:t>To compare billing and insurance amounts across different diagnoses for cost analysis</w:t>
      </w:r>
      <w:r w:rsidRPr="00435BD2">
        <w:t>.</w:t>
      </w:r>
    </w:p>
    <w:p w14:paraId="4FB6C13D" w14:textId="77777777" w:rsidR="00435BD2" w:rsidRPr="00435BD2" w:rsidRDefault="00435BD2" w:rsidP="00435BD2">
      <w:pPr>
        <w:jc w:val="both"/>
      </w:pPr>
      <w:r w:rsidRPr="00435BD2">
        <w:pict w14:anchorId="2AB8DC34">
          <v:rect id="_x0000_i1043" style="width:0;height:1.5pt" o:hralign="center" o:hrstd="t" o:hr="t" fillcolor="#a0a0a0" stroked="f"/>
        </w:pict>
      </w:r>
    </w:p>
    <w:p w14:paraId="312012C2" w14:textId="77777777" w:rsidR="00435BD2" w:rsidRPr="00435BD2" w:rsidRDefault="00435BD2" w:rsidP="00435BD2">
      <w:pPr>
        <w:jc w:val="both"/>
        <w:rPr>
          <w:b/>
          <w:bCs/>
          <w:sz w:val="40"/>
          <w:szCs w:val="40"/>
        </w:rPr>
      </w:pPr>
      <w:r w:rsidRPr="00435BD2">
        <w:rPr>
          <w:b/>
          <w:bCs/>
          <w:sz w:val="40"/>
          <w:szCs w:val="40"/>
        </w:rPr>
        <w:t>Dashboard Analysis</w:t>
      </w:r>
    </w:p>
    <w:p w14:paraId="367C6EE6" w14:textId="77777777" w:rsidR="00435BD2" w:rsidRPr="00435BD2" w:rsidRDefault="00435BD2" w:rsidP="00435BD2">
      <w:pPr>
        <w:jc w:val="both"/>
        <w:rPr>
          <w:b/>
          <w:bCs/>
          <w:sz w:val="32"/>
          <w:szCs w:val="32"/>
        </w:rPr>
      </w:pPr>
      <w:r w:rsidRPr="00435BD2">
        <w:rPr>
          <w:b/>
          <w:bCs/>
          <w:sz w:val="32"/>
          <w:szCs w:val="32"/>
        </w:rPr>
        <w:t>1. Dashboard 1: Bed Occupancy and Doctor Feedback Volume</w:t>
      </w:r>
    </w:p>
    <w:p w14:paraId="5EB73FE6" w14:textId="77777777" w:rsidR="00435BD2" w:rsidRPr="00435BD2" w:rsidRDefault="00435BD2" w:rsidP="00435BD2">
      <w:pPr>
        <w:jc w:val="both"/>
        <w:rPr>
          <w:b/>
          <w:bCs/>
          <w:sz w:val="32"/>
          <w:szCs w:val="32"/>
        </w:rPr>
      </w:pPr>
      <w:r w:rsidRPr="00435BD2">
        <w:rPr>
          <w:b/>
          <w:bCs/>
          <w:sz w:val="32"/>
          <w:szCs w:val="32"/>
        </w:rPr>
        <w:lastRenderedPageBreak/>
        <w:t>Bed Occupancy</w:t>
      </w:r>
    </w:p>
    <w:p w14:paraId="371B4C4C" w14:textId="77777777" w:rsidR="00435BD2" w:rsidRPr="00435BD2" w:rsidRDefault="00435BD2" w:rsidP="00435BD2">
      <w:pPr>
        <w:numPr>
          <w:ilvl w:val="0"/>
          <w:numId w:val="2"/>
        </w:numPr>
        <w:jc w:val="both"/>
      </w:pPr>
      <w:r w:rsidRPr="00435BD2">
        <w:rPr>
          <w:b/>
          <w:bCs/>
          <w:sz w:val="28"/>
          <w:szCs w:val="28"/>
        </w:rPr>
        <w:t>Data Range</w:t>
      </w:r>
      <w:r w:rsidRPr="00435BD2">
        <w:rPr>
          <w:sz w:val="28"/>
          <w:szCs w:val="28"/>
        </w:rPr>
        <w:t>: From 5th December 2022 to 15th January 2023</w:t>
      </w:r>
      <w:r w:rsidRPr="00435BD2">
        <w:t>.</w:t>
      </w:r>
    </w:p>
    <w:p w14:paraId="2D4ACF1C" w14:textId="77777777" w:rsidR="00435BD2" w:rsidRPr="00435BD2" w:rsidRDefault="00435BD2" w:rsidP="00435BD2">
      <w:pPr>
        <w:numPr>
          <w:ilvl w:val="0"/>
          <w:numId w:val="2"/>
        </w:numPr>
        <w:jc w:val="both"/>
        <w:rPr>
          <w:sz w:val="32"/>
          <w:szCs w:val="32"/>
        </w:rPr>
      </w:pPr>
      <w:r w:rsidRPr="00435BD2">
        <w:rPr>
          <w:b/>
          <w:bCs/>
          <w:sz w:val="32"/>
          <w:szCs w:val="32"/>
        </w:rPr>
        <w:t>Occupancy Summary</w:t>
      </w:r>
      <w:r w:rsidRPr="00435BD2">
        <w:rPr>
          <w:sz w:val="32"/>
          <w:szCs w:val="32"/>
        </w:rPr>
        <w:t>:</w:t>
      </w:r>
    </w:p>
    <w:p w14:paraId="29F8344C" w14:textId="77777777" w:rsidR="00435BD2" w:rsidRPr="00435BD2" w:rsidRDefault="00435BD2" w:rsidP="00435BD2">
      <w:pPr>
        <w:numPr>
          <w:ilvl w:val="1"/>
          <w:numId w:val="2"/>
        </w:numPr>
        <w:jc w:val="both"/>
        <w:rPr>
          <w:sz w:val="32"/>
          <w:szCs w:val="32"/>
        </w:rPr>
      </w:pPr>
      <w:r w:rsidRPr="00435BD2">
        <w:rPr>
          <w:b/>
          <w:bCs/>
          <w:sz w:val="32"/>
          <w:szCs w:val="32"/>
        </w:rPr>
        <w:t>Private beds</w:t>
      </w:r>
      <w:r w:rsidRPr="00435BD2">
        <w:rPr>
          <w:sz w:val="32"/>
          <w:szCs w:val="32"/>
        </w:rPr>
        <w:t xml:space="preserve"> have the highest occupancy, with over 3,000 occupied beds.</w:t>
      </w:r>
    </w:p>
    <w:p w14:paraId="31FB1A42" w14:textId="77777777" w:rsidR="00435BD2" w:rsidRPr="00435BD2" w:rsidRDefault="00435BD2" w:rsidP="00435BD2">
      <w:pPr>
        <w:numPr>
          <w:ilvl w:val="1"/>
          <w:numId w:val="2"/>
        </w:numPr>
        <w:jc w:val="both"/>
        <w:rPr>
          <w:sz w:val="32"/>
          <w:szCs w:val="32"/>
        </w:rPr>
      </w:pPr>
      <w:r w:rsidRPr="00435BD2">
        <w:rPr>
          <w:b/>
          <w:bCs/>
          <w:sz w:val="32"/>
          <w:szCs w:val="32"/>
        </w:rPr>
        <w:t>General beds</w:t>
      </w:r>
      <w:r w:rsidRPr="00435BD2">
        <w:rPr>
          <w:sz w:val="32"/>
          <w:szCs w:val="32"/>
        </w:rPr>
        <w:t xml:space="preserve"> follow, with about 2,000 occupied beds.</w:t>
      </w:r>
    </w:p>
    <w:p w14:paraId="092B16DE" w14:textId="77777777" w:rsidR="00435BD2" w:rsidRPr="00435BD2" w:rsidRDefault="00435BD2" w:rsidP="00435BD2">
      <w:pPr>
        <w:numPr>
          <w:ilvl w:val="1"/>
          <w:numId w:val="2"/>
        </w:numPr>
        <w:jc w:val="both"/>
        <w:rPr>
          <w:sz w:val="32"/>
          <w:szCs w:val="32"/>
        </w:rPr>
      </w:pPr>
      <w:r w:rsidRPr="00435BD2">
        <w:rPr>
          <w:b/>
          <w:bCs/>
          <w:sz w:val="32"/>
          <w:szCs w:val="32"/>
        </w:rPr>
        <w:t>ICU beds</w:t>
      </w:r>
      <w:r w:rsidRPr="00435BD2">
        <w:rPr>
          <w:sz w:val="32"/>
          <w:szCs w:val="32"/>
        </w:rPr>
        <w:t xml:space="preserve"> have the lowest occupancy, with around 1,000 beds in use.</w:t>
      </w:r>
    </w:p>
    <w:p w14:paraId="551901AA" w14:textId="77777777" w:rsidR="00435BD2" w:rsidRPr="00435BD2" w:rsidRDefault="00435BD2" w:rsidP="00435BD2">
      <w:pPr>
        <w:numPr>
          <w:ilvl w:val="0"/>
          <w:numId w:val="2"/>
        </w:numPr>
        <w:jc w:val="both"/>
        <w:rPr>
          <w:sz w:val="32"/>
          <w:szCs w:val="32"/>
        </w:rPr>
      </w:pPr>
      <w:r w:rsidRPr="00435BD2">
        <w:rPr>
          <w:b/>
          <w:bCs/>
          <w:sz w:val="32"/>
          <w:szCs w:val="32"/>
        </w:rPr>
        <w:t>Insight</w:t>
      </w:r>
      <w:r w:rsidRPr="00435BD2">
        <w:rPr>
          <w:sz w:val="32"/>
          <w:szCs w:val="32"/>
        </w:rPr>
        <w:t>: The higher demand for private and general beds suggests a focus on inpatient care for non-critical cases, while ICU occupancy remains comparatively lower, likely for critical care patients.</w:t>
      </w:r>
    </w:p>
    <w:p w14:paraId="3B61A762" w14:textId="77777777" w:rsidR="00435BD2" w:rsidRPr="00435BD2" w:rsidRDefault="00435BD2" w:rsidP="00435BD2">
      <w:pPr>
        <w:jc w:val="both"/>
        <w:rPr>
          <w:b/>
          <w:bCs/>
          <w:sz w:val="32"/>
          <w:szCs w:val="32"/>
        </w:rPr>
      </w:pPr>
      <w:r w:rsidRPr="00435BD2">
        <w:rPr>
          <w:b/>
          <w:bCs/>
          <w:sz w:val="32"/>
          <w:szCs w:val="32"/>
        </w:rPr>
        <w:t>Doctor Feedback Volume</w:t>
      </w:r>
    </w:p>
    <w:p w14:paraId="2C5F1F2A" w14:textId="77777777" w:rsidR="00435BD2" w:rsidRPr="00435BD2" w:rsidRDefault="00435BD2" w:rsidP="00435BD2">
      <w:pPr>
        <w:numPr>
          <w:ilvl w:val="0"/>
          <w:numId w:val="3"/>
        </w:numPr>
        <w:jc w:val="both"/>
        <w:rPr>
          <w:sz w:val="32"/>
          <w:szCs w:val="32"/>
        </w:rPr>
      </w:pPr>
      <w:r w:rsidRPr="00435BD2">
        <w:rPr>
          <w:b/>
          <w:bCs/>
          <w:sz w:val="32"/>
          <w:szCs w:val="32"/>
        </w:rPr>
        <w:t>Feedback Data</w:t>
      </w:r>
      <w:r w:rsidRPr="00435BD2">
        <w:rPr>
          <w:sz w:val="32"/>
          <w:szCs w:val="32"/>
        </w:rPr>
        <w:t>: Patient feedback is distributed equally across all listed doctors, each receiving approximately 4.83K feedback entries.</w:t>
      </w:r>
    </w:p>
    <w:p w14:paraId="583B4973" w14:textId="77777777" w:rsidR="00435BD2" w:rsidRPr="00435BD2" w:rsidRDefault="00435BD2" w:rsidP="00435BD2">
      <w:pPr>
        <w:numPr>
          <w:ilvl w:val="0"/>
          <w:numId w:val="3"/>
        </w:numPr>
        <w:jc w:val="both"/>
        <w:rPr>
          <w:sz w:val="32"/>
          <w:szCs w:val="32"/>
        </w:rPr>
      </w:pPr>
      <w:r w:rsidRPr="00435BD2">
        <w:rPr>
          <w:b/>
          <w:bCs/>
          <w:sz w:val="32"/>
          <w:szCs w:val="32"/>
        </w:rPr>
        <w:t>Doctors Analyzed</w:t>
      </w:r>
      <w:r w:rsidRPr="00435BD2">
        <w:rPr>
          <w:sz w:val="32"/>
          <w:szCs w:val="32"/>
        </w:rPr>
        <w:t>: The dashboard highlights seven doctors (Mark Joy, Jay Sinha, Jaya Yadav, Tejas Saxena, Niki Sharma, Naresh Goyenka, Ravi D) with an almost equal share in feedback volume.</w:t>
      </w:r>
    </w:p>
    <w:p w14:paraId="757DADA5" w14:textId="77777777" w:rsidR="00435BD2" w:rsidRPr="00435BD2" w:rsidRDefault="00435BD2" w:rsidP="00435BD2">
      <w:pPr>
        <w:numPr>
          <w:ilvl w:val="0"/>
          <w:numId w:val="3"/>
        </w:numPr>
        <w:jc w:val="both"/>
        <w:rPr>
          <w:sz w:val="32"/>
          <w:szCs w:val="32"/>
        </w:rPr>
      </w:pPr>
      <w:r w:rsidRPr="00435BD2">
        <w:rPr>
          <w:b/>
          <w:bCs/>
          <w:sz w:val="32"/>
          <w:szCs w:val="32"/>
        </w:rPr>
        <w:t>Insight</w:t>
      </w:r>
      <w:r w:rsidRPr="00435BD2">
        <w:rPr>
          <w:sz w:val="32"/>
          <w:szCs w:val="32"/>
        </w:rPr>
        <w:t>: The balanced feedback volume suggests that patient appointments and interactions are well-distributed among the doctors, indicating balanced scheduling.</w:t>
      </w:r>
    </w:p>
    <w:p w14:paraId="717B9038" w14:textId="77777777" w:rsidR="00435BD2" w:rsidRPr="00435BD2" w:rsidRDefault="00435BD2" w:rsidP="00435BD2">
      <w:pPr>
        <w:jc w:val="both"/>
      </w:pPr>
      <w:r w:rsidRPr="00435BD2">
        <w:rPr>
          <w:sz w:val="32"/>
          <w:szCs w:val="32"/>
        </w:rPr>
        <w:pict w14:anchorId="10E47C47">
          <v:rect id="_x0000_i1044" style="width:0;height:1.5pt" o:hralign="center" o:hrstd="t" o:hr="t" fillcolor="#a0a0a0" stroked="f"/>
        </w:pict>
      </w:r>
    </w:p>
    <w:p w14:paraId="2C58A929" w14:textId="77777777" w:rsidR="00435BD2" w:rsidRPr="00435BD2" w:rsidRDefault="00435BD2" w:rsidP="00435BD2">
      <w:pPr>
        <w:jc w:val="both"/>
        <w:rPr>
          <w:b/>
          <w:bCs/>
          <w:sz w:val="32"/>
          <w:szCs w:val="32"/>
        </w:rPr>
      </w:pPr>
      <w:r w:rsidRPr="00435BD2">
        <w:rPr>
          <w:b/>
          <w:bCs/>
          <w:sz w:val="32"/>
          <w:szCs w:val="32"/>
        </w:rPr>
        <w:t>2. Dashboard 2: Diagnosis-wise Bed Occupancy and Financial Analysis</w:t>
      </w:r>
    </w:p>
    <w:p w14:paraId="605E4443" w14:textId="77777777" w:rsidR="00435BD2" w:rsidRPr="00435BD2" w:rsidRDefault="00435BD2" w:rsidP="00435BD2">
      <w:pPr>
        <w:jc w:val="both"/>
        <w:rPr>
          <w:b/>
          <w:bCs/>
          <w:sz w:val="32"/>
          <w:szCs w:val="32"/>
        </w:rPr>
      </w:pPr>
      <w:r w:rsidRPr="00435BD2">
        <w:rPr>
          <w:b/>
          <w:bCs/>
          <w:sz w:val="32"/>
          <w:szCs w:val="32"/>
        </w:rPr>
        <w:t>Bed Occupancy by Diagnosis</w:t>
      </w:r>
    </w:p>
    <w:p w14:paraId="1B6DAB4A" w14:textId="77777777" w:rsidR="00435BD2" w:rsidRPr="00435BD2" w:rsidRDefault="00435BD2" w:rsidP="00435BD2">
      <w:pPr>
        <w:numPr>
          <w:ilvl w:val="0"/>
          <w:numId w:val="4"/>
        </w:numPr>
        <w:jc w:val="both"/>
        <w:rPr>
          <w:sz w:val="32"/>
          <w:szCs w:val="32"/>
        </w:rPr>
      </w:pPr>
      <w:r w:rsidRPr="00435BD2">
        <w:rPr>
          <w:b/>
          <w:bCs/>
          <w:sz w:val="32"/>
          <w:szCs w:val="32"/>
        </w:rPr>
        <w:lastRenderedPageBreak/>
        <w:t>Diagnosis Summary</w:t>
      </w:r>
      <w:r w:rsidRPr="00435BD2">
        <w:rPr>
          <w:sz w:val="32"/>
          <w:szCs w:val="32"/>
        </w:rPr>
        <w:t>:</w:t>
      </w:r>
    </w:p>
    <w:p w14:paraId="5950ED67" w14:textId="77777777" w:rsidR="00435BD2" w:rsidRPr="00435BD2" w:rsidRDefault="00435BD2" w:rsidP="00435BD2">
      <w:pPr>
        <w:numPr>
          <w:ilvl w:val="1"/>
          <w:numId w:val="4"/>
        </w:numPr>
        <w:jc w:val="both"/>
      </w:pPr>
      <w:r w:rsidRPr="00435BD2">
        <w:rPr>
          <w:b/>
          <w:bCs/>
          <w:sz w:val="32"/>
          <w:szCs w:val="32"/>
        </w:rPr>
        <w:t>Top Diagnoses</w:t>
      </w:r>
      <w:r w:rsidRPr="00435BD2">
        <w:rPr>
          <w:sz w:val="32"/>
          <w:szCs w:val="32"/>
        </w:rPr>
        <w:t>: Viral Infection (28%), Malaria (23.99%), and Typhoid (19.99%) are the leading causes of bed occupancy</w:t>
      </w:r>
      <w:r w:rsidRPr="00435BD2">
        <w:t>.</w:t>
      </w:r>
    </w:p>
    <w:p w14:paraId="10B0791D" w14:textId="77777777" w:rsidR="00435BD2" w:rsidRPr="00435BD2" w:rsidRDefault="00435BD2" w:rsidP="00435BD2">
      <w:pPr>
        <w:numPr>
          <w:ilvl w:val="1"/>
          <w:numId w:val="4"/>
        </w:numPr>
        <w:jc w:val="both"/>
        <w:rPr>
          <w:sz w:val="32"/>
          <w:szCs w:val="32"/>
        </w:rPr>
      </w:pPr>
      <w:r w:rsidRPr="00435BD2">
        <w:rPr>
          <w:sz w:val="32"/>
          <w:szCs w:val="32"/>
        </w:rPr>
        <w:t>Other diagnoses such as Flu, Pneumonia, and Fractures occupy a smaller share of the bed capacity.</w:t>
      </w:r>
    </w:p>
    <w:p w14:paraId="5D230834" w14:textId="77777777" w:rsidR="00435BD2" w:rsidRPr="00435BD2" w:rsidRDefault="00435BD2" w:rsidP="00435BD2">
      <w:pPr>
        <w:numPr>
          <w:ilvl w:val="0"/>
          <w:numId w:val="4"/>
        </w:numPr>
        <w:jc w:val="both"/>
        <w:rPr>
          <w:sz w:val="32"/>
          <w:szCs w:val="32"/>
        </w:rPr>
      </w:pPr>
      <w:r w:rsidRPr="00435BD2">
        <w:rPr>
          <w:b/>
          <w:bCs/>
          <w:sz w:val="32"/>
          <w:szCs w:val="32"/>
        </w:rPr>
        <w:t>Insight</w:t>
      </w:r>
      <w:r w:rsidRPr="00435BD2">
        <w:rPr>
          <w:sz w:val="32"/>
          <w:szCs w:val="32"/>
        </w:rPr>
        <w:t>: This data indicates that infectious diseases are the primary reason for hospital admissions, highlighting a possible need for enhanced infection control and preventive care.</w:t>
      </w:r>
    </w:p>
    <w:p w14:paraId="23FE9559" w14:textId="77777777" w:rsidR="00435BD2" w:rsidRPr="00435BD2" w:rsidRDefault="00435BD2" w:rsidP="00435BD2">
      <w:pPr>
        <w:jc w:val="both"/>
        <w:rPr>
          <w:b/>
          <w:bCs/>
          <w:sz w:val="32"/>
          <w:szCs w:val="32"/>
        </w:rPr>
      </w:pPr>
      <w:r w:rsidRPr="00435BD2">
        <w:rPr>
          <w:b/>
          <w:bCs/>
          <w:sz w:val="32"/>
          <w:szCs w:val="32"/>
        </w:rPr>
        <w:t>Patient ID by Diagnosis</w:t>
      </w:r>
    </w:p>
    <w:p w14:paraId="78B444BB" w14:textId="77777777" w:rsidR="00435BD2" w:rsidRPr="00435BD2" w:rsidRDefault="00435BD2" w:rsidP="00435BD2">
      <w:pPr>
        <w:numPr>
          <w:ilvl w:val="0"/>
          <w:numId w:val="5"/>
        </w:numPr>
        <w:jc w:val="both"/>
        <w:rPr>
          <w:sz w:val="32"/>
          <w:szCs w:val="32"/>
        </w:rPr>
      </w:pPr>
      <w:r w:rsidRPr="00435BD2">
        <w:rPr>
          <w:b/>
          <w:bCs/>
          <w:sz w:val="32"/>
          <w:szCs w:val="32"/>
        </w:rPr>
        <w:t>Diagnosis Distribution</w:t>
      </w:r>
      <w:r w:rsidRPr="00435BD2">
        <w:rPr>
          <w:sz w:val="32"/>
          <w:szCs w:val="32"/>
        </w:rPr>
        <w:t>:</w:t>
      </w:r>
    </w:p>
    <w:p w14:paraId="36BDAC20" w14:textId="77777777" w:rsidR="00435BD2" w:rsidRPr="00435BD2" w:rsidRDefault="00435BD2" w:rsidP="00435BD2">
      <w:pPr>
        <w:numPr>
          <w:ilvl w:val="1"/>
          <w:numId w:val="5"/>
        </w:numPr>
        <w:jc w:val="both"/>
        <w:rPr>
          <w:sz w:val="32"/>
          <w:szCs w:val="32"/>
        </w:rPr>
      </w:pPr>
      <w:r w:rsidRPr="00435BD2">
        <w:rPr>
          <w:sz w:val="32"/>
          <w:szCs w:val="32"/>
        </w:rPr>
        <w:t>Viral infections and Flu represent the highest patient counts.</w:t>
      </w:r>
    </w:p>
    <w:p w14:paraId="25811A93" w14:textId="77777777" w:rsidR="00435BD2" w:rsidRPr="00435BD2" w:rsidRDefault="00435BD2" w:rsidP="00435BD2">
      <w:pPr>
        <w:numPr>
          <w:ilvl w:val="1"/>
          <w:numId w:val="5"/>
        </w:numPr>
        <w:jc w:val="both"/>
        <w:rPr>
          <w:sz w:val="32"/>
          <w:szCs w:val="32"/>
        </w:rPr>
      </w:pPr>
      <w:r w:rsidRPr="00435BD2">
        <w:rPr>
          <w:sz w:val="32"/>
          <w:szCs w:val="32"/>
        </w:rPr>
        <w:t>The distribution suggests that a significant percentage of hospital resources are allocated to managing infectious diseases.</w:t>
      </w:r>
    </w:p>
    <w:p w14:paraId="64E52FCC" w14:textId="77777777" w:rsidR="00435BD2" w:rsidRPr="00435BD2" w:rsidRDefault="00435BD2" w:rsidP="00435BD2">
      <w:pPr>
        <w:jc w:val="both"/>
        <w:rPr>
          <w:b/>
          <w:bCs/>
          <w:sz w:val="32"/>
          <w:szCs w:val="32"/>
        </w:rPr>
      </w:pPr>
      <w:r w:rsidRPr="00435BD2">
        <w:rPr>
          <w:b/>
          <w:bCs/>
          <w:sz w:val="32"/>
          <w:szCs w:val="32"/>
        </w:rPr>
        <w:t>Health Insurance Amount vs Billing Amount by Diagnosis</w:t>
      </w:r>
    </w:p>
    <w:p w14:paraId="4767A05E" w14:textId="77777777" w:rsidR="00435BD2" w:rsidRPr="00435BD2" w:rsidRDefault="00435BD2" w:rsidP="00435BD2">
      <w:pPr>
        <w:numPr>
          <w:ilvl w:val="0"/>
          <w:numId w:val="6"/>
        </w:numPr>
        <w:jc w:val="both"/>
        <w:rPr>
          <w:sz w:val="32"/>
          <w:szCs w:val="32"/>
        </w:rPr>
      </w:pPr>
      <w:r w:rsidRPr="00435BD2">
        <w:rPr>
          <w:b/>
          <w:bCs/>
          <w:sz w:val="32"/>
          <w:szCs w:val="32"/>
        </w:rPr>
        <w:t>Financial Comparison</w:t>
      </w:r>
      <w:r w:rsidRPr="00435BD2">
        <w:rPr>
          <w:sz w:val="32"/>
          <w:szCs w:val="32"/>
        </w:rPr>
        <w:t>:</w:t>
      </w:r>
    </w:p>
    <w:p w14:paraId="6D800844" w14:textId="77777777" w:rsidR="00435BD2" w:rsidRPr="00435BD2" w:rsidRDefault="00435BD2" w:rsidP="00435BD2">
      <w:pPr>
        <w:numPr>
          <w:ilvl w:val="1"/>
          <w:numId w:val="6"/>
        </w:numPr>
        <w:jc w:val="both"/>
        <w:rPr>
          <w:sz w:val="32"/>
          <w:szCs w:val="32"/>
        </w:rPr>
      </w:pPr>
      <w:r w:rsidRPr="00435BD2">
        <w:rPr>
          <w:b/>
          <w:bCs/>
          <w:sz w:val="32"/>
          <w:szCs w:val="32"/>
        </w:rPr>
        <w:t>Trend</w:t>
      </w:r>
      <w:r w:rsidRPr="00435BD2">
        <w:rPr>
          <w:sz w:val="32"/>
          <w:szCs w:val="32"/>
        </w:rPr>
        <w:t>: Insurance coverage generally aligns with billing amounts across diagnoses, although discrepancies exist for some conditions.</w:t>
      </w:r>
    </w:p>
    <w:p w14:paraId="63CA1BE7" w14:textId="77777777" w:rsidR="00435BD2" w:rsidRPr="00435BD2" w:rsidRDefault="00435BD2" w:rsidP="00435BD2">
      <w:pPr>
        <w:numPr>
          <w:ilvl w:val="1"/>
          <w:numId w:val="6"/>
        </w:numPr>
        <w:jc w:val="both"/>
        <w:rPr>
          <w:sz w:val="32"/>
          <w:szCs w:val="32"/>
        </w:rPr>
      </w:pPr>
      <w:r w:rsidRPr="00435BD2">
        <w:rPr>
          <w:b/>
          <w:bCs/>
          <w:sz w:val="32"/>
          <w:szCs w:val="32"/>
        </w:rPr>
        <w:t>Key Values</w:t>
      </w:r>
      <w:r w:rsidRPr="00435BD2">
        <w:rPr>
          <w:sz w:val="32"/>
          <w:szCs w:val="32"/>
        </w:rPr>
        <w:t>:</w:t>
      </w:r>
    </w:p>
    <w:p w14:paraId="5B9D48DB" w14:textId="77777777" w:rsidR="00435BD2" w:rsidRPr="00435BD2" w:rsidRDefault="00435BD2" w:rsidP="00435BD2">
      <w:pPr>
        <w:numPr>
          <w:ilvl w:val="2"/>
          <w:numId w:val="6"/>
        </w:numPr>
        <w:jc w:val="both"/>
        <w:rPr>
          <w:sz w:val="32"/>
          <w:szCs w:val="32"/>
        </w:rPr>
      </w:pPr>
      <w:r w:rsidRPr="00435BD2">
        <w:rPr>
          <w:sz w:val="32"/>
          <w:szCs w:val="32"/>
        </w:rPr>
        <w:t>Viral Infection: ₹48M insurance vs. ₹35M billed.</w:t>
      </w:r>
    </w:p>
    <w:p w14:paraId="3C00CE87" w14:textId="77777777" w:rsidR="00435BD2" w:rsidRPr="00435BD2" w:rsidRDefault="00435BD2" w:rsidP="00435BD2">
      <w:pPr>
        <w:numPr>
          <w:ilvl w:val="2"/>
          <w:numId w:val="6"/>
        </w:numPr>
        <w:jc w:val="both"/>
        <w:rPr>
          <w:sz w:val="32"/>
          <w:szCs w:val="32"/>
        </w:rPr>
      </w:pPr>
      <w:r w:rsidRPr="00435BD2">
        <w:rPr>
          <w:sz w:val="32"/>
          <w:szCs w:val="32"/>
        </w:rPr>
        <w:t>Typhoid: ₹27M insurance vs. ₹30M billed.</w:t>
      </w:r>
    </w:p>
    <w:p w14:paraId="05FFEA23" w14:textId="77777777" w:rsidR="00435BD2" w:rsidRPr="00435BD2" w:rsidRDefault="00435BD2" w:rsidP="00435BD2">
      <w:pPr>
        <w:numPr>
          <w:ilvl w:val="2"/>
          <w:numId w:val="6"/>
        </w:numPr>
        <w:jc w:val="both"/>
        <w:rPr>
          <w:sz w:val="32"/>
          <w:szCs w:val="32"/>
        </w:rPr>
      </w:pPr>
      <w:r w:rsidRPr="00435BD2">
        <w:rPr>
          <w:sz w:val="32"/>
          <w:szCs w:val="32"/>
        </w:rPr>
        <w:t>Fracture: ₹7M insurance vs. ₹8M billed.</w:t>
      </w:r>
    </w:p>
    <w:p w14:paraId="45C5F311" w14:textId="77777777" w:rsidR="00435BD2" w:rsidRPr="00435BD2" w:rsidRDefault="00435BD2" w:rsidP="00435BD2">
      <w:pPr>
        <w:numPr>
          <w:ilvl w:val="0"/>
          <w:numId w:val="6"/>
        </w:numPr>
        <w:jc w:val="both"/>
        <w:rPr>
          <w:sz w:val="32"/>
          <w:szCs w:val="32"/>
        </w:rPr>
      </w:pPr>
      <w:r w:rsidRPr="00435BD2">
        <w:rPr>
          <w:b/>
          <w:bCs/>
          <w:sz w:val="32"/>
          <w:szCs w:val="32"/>
        </w:rPr>
        <w:t>Insight</w:t>
      </w:r>
      <w:r w:rsidRPr="00435BD2">
        <w:rPr>
          <w:sz w:val="32"/>
          <w:szCs w:val="32"/>
        </w:rPr>
        <w:t xml:space="preserve">: The billing versus insurance trend shows that while most cases are covered well by insurance, certain conditions (like Typhoid and Fractures) may incur slightly higher costs than the </w:t>
      </w:r>
      <w:r w:rsidRPr="00435BD2">
        <w:rPr>
          <w:sz w:val="32"/>
          <w:szCs w:val="32"/>
        </w:rPr>
        <w:lastRenderedPageBreak/>
        <w:t>insurance coverage, leading to out-of-pocket expenses for patients.</w:t>
      </w:r>
    </w:p>
    <w:p w14:paraId="560AAF69" w14:textId="77777777" w:rsidR="00435BD2" w:rsidRPr="00435BD2" w:rsidRDefault="00435BD2" w:rsidP="00435BD2">
      <w:pPr>
        <w:jc w:val="both"/>
      </w:pPr>
      <w:r w:rsidRPr="00435BD2">
        <w:pict w14:anchorId="28806AEA">
          <v:rect id="_x0000_i1045" style="width:0;height:1.5pt" o:hralign="center" o:hrstd="t" o:hr="t" fillcolor="#a0a0a0" stroked="f"/>
        </w:pict>
      </w:r>
    </w:p>
    <w:p w14:paraId="72F83FFC" w14:textId="77777777" w:rsidR="00435BD2" w:rsidRPr="00435BD2" w:rsidRDefault="00435BD2" w:rsidP="00435BD2">
      <w:pPr>
        <w:jc w:val="both"/>
        <w:rPr>
          <w:b/>
          <w:bCs/>
          <w:sz w:val="32"/>
          <w:szCs w:val="32"/>
        </w:rPr>
      </w:pPr>
      <w:r w:rsidRPr="00435BD2">
        <w:rPr>
          <w:b/>
          <w:bCs/>
          <w:sz w:val="32"/>
          <w:szCs w:val="32"/>
        </w:rPr>
        <w:t>Conclusion and Recommendations</w:t>
      </w:r>
    </w:p>
    <w:p w14:paraId="38BB9584" w14:textId="77777777" w:rsidR="00435BD2" w:rsidRPr="00435BD2" w:rsidRDefault="00435BD2" w:rsidP="00435BD2">
      <w:pPr>
        <w:jc w:val="both"/>
        <w:rPr>
          <w:b/>
          <w:bCs/>
          <w:sz w:val="32"/>
          <w:szCs w:val="32"/>
        </w:rPr>
      </w:pPr>
      <w:r w:rsidRPr="00435BD2">
        <w:rPr>
          <w:b/>
          <w:bCs/>
          <w:sz w:val="32"/>
          <w:szCs w:val="32"/>
        </w:rPr>
        <w:t>Conclusion</w:t>
      </w:r>
    </w:p>
    <w:p w14:paraId="0F63C33F" w14:textId="77777777" w:rsidR="00435BD2" w:rsidRPr="00435BD2" w:rsidRDefault="00435BD2" w:rsidP="00435BD2">
      <w:pPr>
        <w:jc w:val="both"/>
        <w:rPr>
          <w:sz w:val="32"/>
          <w:szCs w:val="32"/>
        </w:rPr>
      </w:pPr>
      <w:r w:rsidRPr="00435BD2">
        <w:rPr>
          <w:sz w:val="32"/>
          <w:szCs w:val="32"/>
        </w:rPr>
        <w:t>The dashboards provide a comprehensive overview of patient bed occupancy, feedback for medical staff, and financial data related to healthcare billing and insurance claims. The data highlights the hospital's focus on managing infectious diseases and balancing doctor workload while also identifying financial trends associated with healthcare insurance and billing.</w:t>
      </w:r>
    </w:p>
    <w:p w14:paraId="0145F6A5" w14:textId="77777777" w:rsidR="00435BD2" w:rsidRPr="00435BD2" w:rsidRDefault="00435BD2" w:rsidP="00435BD2">
      <w:pPr>
        <w:jc w:val="both"/>
        <w:rPr>
          <w:b/>
          <w:bCs/>
          <w:sz w:val="32"/>
          <w:szCs w:val="32"/>
        </w:rPr>
      </w:pPr>
      <w:r w:rsidRPr="00435BD2">
        <w:rPr>
          <w:b/>
          <w:bCs/>
          <w:sz w:val="32"/>
          <w:szCs w:val="32"/>
        </w:rPr>
        <w:t>Recommendations</w:t>
      </w:r>
    </w:p>
    <w:p w14:paraId="7413D89A" w14:textId="77777777" w:rsidR="00435BD2" w:rsidRPr="00435BD2" w:rsidRDefault="00435BD2" w:rsidP="00435BD2">
      <w:pPr>
        <w:numPr>
          <w:ilvl w:val="0"/>
          <w:numId w:val="7"/>
        </w:numPr>
        <w:jc w:val="both"/>
        <w:rPr>
          <w:sz w:val="32"/>
          <w:szCs w:val="32"/>
        </w:rPr>
      </w:pPr>
      <w:r w:rsidRPr="00435BD2">
        <w:rPr>
          <w:b/>
          <w:bCs/>
          <w:sz w:val="32"/>
          <w:szCs w:val="32"/>
        </w:rPr>
        <w:t>Resource Allocation</w:t>
      </w:r>
      <w:r w:rsidRPr="00435BD2">
        <w:rPr>
          <w:sz w:val="32"/>
          <w:szCs w:val="32"/>
        </w:rPr>
        <w:t>: Given the high occupancy for private and general beds, consider adjusting the bed distribution to meet patient demands better, particularly for non-critical cases.</w:t>
      </w:r>
    </w:p>
    <w:p w14:paraId="386982C9" w14:textId="77777777" w:rsidR="00435BD2" w:rsidRPr="00435BD2" w:rsidRDefault="00435BD2" w:rsidP="00435BD2">
      <w:pPr>
        <w:numPr>
          <w:ilvl w:val="0"/>
          <w:numId w:val="7"/>
        </w:numPr>
        <w:jc w:val="both"/>
        <w:rPr>
          <w:sz w:val="32"/>
          <w:szCs w:val="32"/>
        </w:rPr>
      </w:pPr>
      <w:r w:rsidRPr="00435BD2">
        <w:rPr>
          <w:b/>
          <w:bCs/>
          <w:sz w:val="32"/>
          <w:szCs w:val="32"/>
        </w:rPr>
        <w:t>Infection Control</w:t>
      </w:r>
      <w:r w:rsidRPr="00435BD2">
        <w:rPr>
          <w:sz w:val="32"/>
          <w:szCs w:val="32"/>
        </w:rPr>
        <w:t>: With a significant portion of bed occupancy driven by infectious diseases, enhancing infection control measures could reduce future admissions.</w:t>
      </w:r>
    </w:p>
    <w:p w14:paraId="42CB1B2E" w14:textId="77777777" w:rsidR="00435BD2" w:rsidRPr="00435BD2" w:rsidRDefault="00435BD2" w:rsidP="00435BD2">
      <w:pPr>
        <w:numPr>
          <w:ilvl w:val="0"/>
          <w:numId w:val="7"/>
        </w:numPr>
        <w:jc w:val="both"/>
        <w:rPr>
          <w:sz w:val="32"/>
          <w:szCs w:val="32"/>
        </w:rPr>
      </w:pPr>
      <w:r w:rsidRPr="00435BD2">
        <w:rPr>
          <w:b/>
          <w:bCs/>
          <w:sz w:val="32"/>
          <w:szCs w:val="32"/>
        </w:rPr>
        <w:t>Financial Planning</w:t>
      </w:r>
      <w:r w:rsidRPr="00435BD2">
        <w:rPr>
          <w:sz w:val="32"/>
          <w:szCs w:val="32"/>
        </w:rPr>
        <w:t>: Address the billing vs. insurance gap for diagnoses like Typhoid and Fractures by reviewing insurance policies or negotiating better coverage terms with insurance providers.</w:t>
      </w:r>
    </w:p>
    <w:p w14:paraId="43DD00AB" w14:textId="41CF7DA9" w:rsidR="00D66898" w:rsidRDefault="00D66898"/>
    <w:p w14:paraId="3AF9B452" w14:textId="1BB6FCB0" w:rsidR="00C84CD6" w:rsidRDefault="00C84CD6" w:rsidP="00C84CD6">
      <w:r w:rsidRPr="00435BD2">
        <w:pict w14:anchorId="05C618ED">
          <v:rect id="_x0000_i1061" style="width:0;height:1.5pt" o:hralign="center" o:hrstd="t" o:hr="t" fillcolor="#a0a0a0" stroked="f"/>
        </w:pict>
      </w:r>
    </w:p>
    <w:p w14:paraId="1F76FF2D" w14:textId="77777777" w:rsidR="00C84CD6" w:rsidRDefault="00C84CD6" w:rsidP="00C84CD6"/>
    <w:p w14:paraId="2515446B" w14:textId="77777777" w:rsidR="00C84CD6" w:rsidRDefault="00C84CD6" w:rsidP="00C84CD6"/>
    <w:p w14:paraId="49CE04A9" w14:textId="77777777" w:rsidR="00C84CD6" w:rsidRDefault="00C84CD6" w:rsidP="00C84CD6"/>
    <w:p w14:paraId="2C4E55D7" w14:textId="77777777" w:rsidR="00C84CD6" w:rsidRDefault="00C84CD6" w:rsidP="00C84CD6"/>
    <w:p w14:paraId="27A8DE78" w14:textId="76A206DF" w:rsidR="00D66898" w:rsidRDefault="00D66898" w:rsidP="00C84CD6"/>
    <w:p w14:paraId="0C405D35" w14:textId="23697E34" w:rsidR="00C84CD6" w:rsidRPr="00C84CD6" w:rsidRDefault="00C84CD6" w:rsidP="00C84CD6">
      <w:pPr>
        <w:pStyle w:val="ListParagraph"/>
        <w:numPr>
          <w:ilvl w:val="0"/>
          <w:numId w:val="12"/>
        </w:numPr>
      </w:pPr>
      <w:proofErr w:type="gramStart"/>
      <w:r>
        <w:rPr>
          <w:rFonts w:ascii="Arial Black" w:hAnsi="Arial Black"/>
          <w:sz w:val="48"/>
          <w:szCs w:val="48"/>
        </w:rPr>
        <w:lastRenderedPageBreak/>
        <w:t>Dashboards:-</w:t>
      </w:r>
      <w:proofErr w:type="gramEnd"/>
    </w:p>
    <w:p w14:paraId="54C7DEB5" w14:textId="62FE8231" w:rsidR="00C84CD6" w:rsidRPr="00C84CD6" w:rsidRDefault="00C84CD6" w:rsidP="00C84CD6">
      <w:pPr>
        <w:pStyle w:val="ListParagraph"/>
        <w:numPr>
          <w:ilvl w:val="0"/>
          <w:numId w:val="12"/>
        </w:numPr>
      </w:pPr>
      <w:r>
        <w:rPr>
          <w:rFonts w:ascii="Arial Black" w:hAnsi="Arial Black"/>
          <w:sz w:val="28"/>
          <w:szCs w:val="28"/>
        </w:rPr>
        <w:t>PAGE NO.1</w:t>
      </w:r>
    </w:p>
    <w:p w14:paraId="63C046B3" w14:textId="77777777" w:rsidR="00C84CD6" w:rsidRPr="00C84CD6" w:rsidRDefault="00C84CD6" w:rsidP="00C84CD6">
      <w:pPr>
        <w:pStyle w:val="ListParagraph"/>
      </w:pPr>
    </w:p>
    <w:p w14:paraId="19F308A9" w14:textId="1B9FF6F7" w:rsidR="00C84CD6" w:rsidRPr="00C84CD6" w:rsidRDefault="00C84CD6" w:rsidP="00C84CD6">
      <w:pPr>
        <w:rPr>
          <w:rFonts w:ascii="Arial Black" w:hAnsi="Arial Black"/>
          <w:sz w:val="48"/>
          <w:szCs w:val="48"/>
        </w:rPr>
      </w:pPr>
      <w:r>
        <w:rPr>
          <w:noProof/>
        </w:rPr>
        <w:drawing>
          <wp:inline distT="0" distB="0" distL="0" distR="0" wp14:anchorId="261A45A3" wp14:editId="72D95883">
            <wp:extent cx="4975860" cy="2948940"/>
            <wp:effectExtent l="0" t="0" r="0" b="3810"/>
            <wp:docPr id="49057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5860" cy="2948940"/>
                    </a:xfrm>
                    <a:prstGeom prst="rect">
                      <a:avLst/>
                    </a:prstGeom>
                    <a:noFill/>
                    <a:ln>
                      <a:noFill/>
                    </a:ln>
                  </pic:spPr>
                </pic:pic>
              </a:graphicData>
            </a:graphic>
          </wp:inline>
        </w:drawing>
      </w:r>
    </w:p>
    <w:p w14:paraId="4D1CA4F6" w14:textId="32D76928" w:rsidR="00C84CD6" w:rsidRDefault="00C84CD6" w:rsidP="00C84CD6">
      <w:pPr>
        <w:pStyle w:val="ListParagraph"/>
        <w:ind w:left="0"/>
        <w:rPr>
          <w:rFonts w:ascii="Arial Black" w:hAnsi="Arial Black"/>
          <w:sz w:val="48"/>
          <w:szCs w:val="48"/>
        </w:rPr>
      </w:pPr>
      <w:r w:rsidRPr="00435BD2">
        <w:pict w14:anchorId="62D224B7">
          <v:rect id="_x0000_i1065" style="width:0;height:1.5pt" o:hralign="center" o:hrstd="t" o:hr="t" fillcolor="#a0a0a0" stroked="f"/>
        </w:pict>
      </w:r>
    </w:p>
    <w:p w14:paraId="496FADC9" w14:textId="516C91A7" w:rsidR="00C84CD6" w:rsidRDefault="00C84CD6" w:rsidP="00C84CD6">
      <w:pPr>
        <w:pStyle w:val="ListParagraph"/>
        <w:numPr>
          <w:ilvl w:val="0"/>
          <w:numId w:val="15"/>
        </w:numPr>
        <w:rPr>
          <w:rFonts w:ascii="Arial Black" w:hAnsi="Arial Black"/>
          <w:sz w:val="28"/>
          <w:szCs w:val="28"/>
        </w:rPr>
      </w:pPr>
      <w:r>
        <w:rPr>
          <w:rFonts w:ascii="Arial Black" w:hAnsi="Arial Black"/>
          <w:sz w:val="28"/>
          <w:szCs w:val="28"/>
        </w:rPr>
        <w:t>PAGE NO.2</w:t>
      </w:r>
    </w:p>
    <w:p w14:paraId="4747ECCC" w14:textId="77777777" w:rsidR="00C84CD6" w:rsidRDefault="00C84CD6" w:rsidP="00C84CD6">
      <w:pPr>
        <w:pStyle w:val="ListParagraph"/>
        <w:ind w:left="2880"/>
        <w:rPr>
          <w:rFonts w:ascii="Arial Black" w:hAnsi="Arial Black"/>
          <w:sz w:val="28"/>
          <w:szCs w:val="28"/>
        </w:rPr>
      </w:pPr>
    </w:p>
    <w:p w14:paraId="30E97DA4" w14:textId="7672F9ED" w:rsidR="00C84CD6" w:rsidRDefault="00C84CD6" w:rsidP="00C84CD6">
      <w:pPr>
        <w:rPr>
          <w:rFonts w:ascii="Arial Black" w:hAnsi="Arial Black"/>
          <w:sz w:val="28"/>
          <w:szCs w:val="28"/>
        </w:rPr>
      </w:pPr>
      <w:r>
        <w:rPr>
          <w:noProof/>
        </w:rPr>
        <w:drawing>
          <wp:inline distT="0" distB="0" distL="0" distR="0" wp14:anchorId="7C619FF2" wp14:editId="322B239E">
            <wp:extent cx="5731510" cy="3262630"/>
            <wp:effectExtent l="0" t="0" r="2540" b="0"/>
            <wp:docPr id="15002343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62630"/>
                    </a:xfrm>
                    <a:prstGeom prst="rect">
                      <a:avLst/>
                    </a:prstGeom>
                    <a:noFill/>
                    <a:ln>
                      <a:noFill/>
                    </a:ln>
                  </pic:spPr>
                </pic:pic>
              </a:graphicData>
            </a:graphic>
          </wp:inline>
        </w:drawing>
      </w:r>
    </w:p>
    <w:p w14:paraId="522B82DB" w14:textId="651B35FF" w:rsidR="00C84CD6" w:rsidRPr="00C84CD6" w:rsidRDefault="00C84CD6" w:rsidP="00C84CD6">
      <w:pPr>
        <w:rPr>
          <w:rFonts w:ascii="Arial Black" w:hAnsi="Arial Black"/>
          <w:sz w:val="28"/>
          <w:szCs w:val="28"/>
        </w:rPr>
      </w:pPr>
      <w:r w:rsidRPr="00435BD2">
        <w:pict w14:anchorId="6A47F1FC">
          <v:rect id="_x0000_i1064" style="width:0;height:1.5pt" o:hralign="center" o:hrstd="t" o:hr="t" fillcolor="#a0a0a0" stroked="f"/>
        </w:pict>
      </w:r>
    </w:p>
    <w:sectPr w:rsidR="00C84CD6" w:rsidRPr="00C84CD6" w:rsidSect="00D6689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38A97D" w14:textId="77777777" w:rsidR="00C84CD6" w:rsidRDefault="00C84CD6" w:rsidP="00C84CD6">
      <w:pPr>
        <w:spacing w:after="0" w:line="240" w:lineRule="auto"/>
      </w:pPr>
      <w:r>
        <w:separator/>
      </w:r>
    </w:p>
  </w:endnote>
  <w:endnote w:type="continuationSeparator" w:id="0">
    <w:p w14:paraId="7875B32E" w14:textId="77777777" w:rsidR="00C84CD6" w:rsidRDefault="00C84CD6" w:rsidP="00C84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062E24" w14:textId="77777777" w:rsidR="00C84CD6" w:rsidRDefault="00C84CD6" w:rsidP="00C84CD6">
      <w:pPr>
        <w:spacing w:after="0" w:line="240" w:lineRule="auto"/>
      </w:pPr>
      <w:r>
        <w:separator/>
      </w:r>
    </w:p>
  </w:footnote>
  <w:footnote w:type="continuationSeparator" w:id="0">
    <w:p w14:paraId="1255CC07" w14:textId="77777777" w:rsidR="00C84CD6" w:rsidRDefault="00C84CD6" w:rsidP="00C84C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D63D6"/>
    <w:multiLevelType w:val="multilevel"/>
    <w:tmpl w:val="AC84C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42FFC"/>
    <w:multiLevelType w:val="hybridMultilevel"/>
    <w:tmpl w:val="21E6F5C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D0D5241"/>
    <w:multiLevelType w:val="multilevel"/>
    <w:tmpl w:val="992C9E6A"/>
    <w:lvl w:ilvl="0">
      <w:start w:val="1"/>
      <w:numFmt w:val="decimal"/>
      <w:lvlText w:val="%1."/>
      <w:lvlJc w:val="left"/>
      <w:pPr>
        <w:tabs>
          <w:tab w:val="num" w:pos="644"/>
        </w:tabs>
        <w:ind w:left="644" w:hanging="360"/>
      </w:pPr>
      <w:rPr>
        <w:sz w:val="28"/>
        <w:szCs w:val="28"/>
      </w:r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3" w15:restartNumberingAfterBreak="0">
    <w:nsid w:val="174F5EA5"/>
    <w:multiLevelType w:val="multilevel"/>
    <w:tmpl w:val="581A5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CA1641"/>
    <w:multiLevelType w:val="hybridMultilevel"/>
    <w:tmpl w:val="D188CA3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53A3ABF"/>
    <w:multiLevelType w:val="hybridMultilevel"/>
    <w:tmpl w:val="C19E52A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0C932AE"/>
    <w:multiLevelType w:val="multilevel"/>
    <w:tmpl w:val="F9D87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7329F5"/>
    <w:multiLevelType w:val="hybridMultilevel"/>
    <w:tmpl w:val="AAAE756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0C0B95"/>
    <w:multiLevelType w:val="multilevel"/>
    <w:tmpl w:val="FF2CD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CB022C"/>
    <w:multiLevelType w:val="multilevel"/>
    <w:tmpl w:val="28140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720522"/>
    <w:multiLevelType w:val="hybridMultilevel"/>
    <w:tmpl w:val="4EA45E72"/>
    <w:lvl w:ilvl="0" w:tplc="40090009">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63707A4E"/>
    <w:multiLevelType w:val="hybridMultilevel"/>
    <w:tmpl w:val="9D0655F4"/>
    <w:lvl w:ilvl="0" w:tplc="40090009">
      <w:start w:val="1"/>
      <w:numFmt w:val="bullet"/>
      <w:lvlText w:val=""/>
      <w:lvlJc w:val="left"/>
      <w:pPr>
        <w:ind w:left="3240" w:hanging="360"/>
      </w:pPr>
      <w:rPr>
        <w:rFonts w:ascii="Wingdings" w:hAnsi="Wingdings"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2" w15:restartNumberingAfterBreak="0">
    <w:nsid w:val="658B5F33"/>
    <w:multiLevelType w:val="hybridMultilevel"/>
    <w:tmpl w:val="0496684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D4668A0"/>
    <w:multiLevelType w:val="multilevel"/>
    <w:tmpl w:val="1B82B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B607D6"/>
    <w:multiLevelType w:val="hybridMultilevel"/>
    <w:tmpl w:val="13D2C8D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65750164">
    <w:abstractNumId w:val="2"/>
  </w:num>
  <w:num w:numId="2" w16cid:durableId="1740053409">
    <w:abstractNumId w:val="9"/>
  </w:num>
  <w:num w:numId="3" w16cid:durableId="1660310531">
    <w:abstractNumId w:val="3"/>
  </w:num>
  <w:num w:numId="4" w16cid:durableId="98568068">
    <w:abstractNumId w:val="6"/>
  </w:num>
  <w:num w:numId="5" w16cid:durableId="592977931">
    <w:abstractNumId w:val="0"/>
  </w:num>
  <w:num w:numId="6" w16cid:durableId="1679842398">
    <w:abstractNumId w:val="13"/>
  </w:num>
  <w:num w:numId="7" w16cid:durableId="1339968903">
    <w:abstractNumId w:val="8"/>
  </w:num>
  <w:num w:numId="8" w16cid:durableId="1688166679">
    <w:abstractNumId w:val="14"/>
  </w:num>
  <w:num w:numId="9" w16cid:durableId="1846623856">
    <w:abstractNumId w:val="1"/>
  </w:num>
  <w:num w:numId="10" w16cid:durableId="825709338">
    <w:abstractNumId w:val="7"/>
  </w:num>
  <w:num w:numId="11" w16cid:durableId="1593395830">
    <w:abstractNumId w:val="12"/>
  </w:num>
  <w:num w:numId="12" w16cid:durableId="512839185">
    <w:abstractNumId w:val="4"/>
  </w:num>
  <w:num w:numId="13" w16cid:durableId="1964145320">
    <w:abstractNumId w:val="10"/>
  </w:num>
  <w:num w:numId="14" w16cid:durableId="582842031">
    <w:abstractNumId w:val="11"/>
  </w:num>
  <w:num w:numId="15" w16cid:durableId="14992240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BD2"/>
    <w:rsid w:val="00435BD2"/>
    <w:rsid w:val="007E1A6E"/>
    <w:rsid w:val="00A02D46"/>
    <w:rsid w:val="00B73EBD"/>
    <w:rsid w:val="00C84CD6"/>
    <w:rsid w:val="00D668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224E5"/>
  <w15:chartTrackingRefBased/>
  <w15:docId w15:val="{596B0324-79B1-4615-92A1-907C2EB1F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B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5B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5BD2"/>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35BD2"/>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435BD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35BD2"/>
    <w:rPr>
      <w:i/>
      <w:iCs/>
      <w:color w:val="4472C4" w:themeColor="accent1"/>
    </w:rPr>
  </w:style>
  <w:style w:type="character" w:styleId="Strong">
    <w:name w:val="Strong"/>
    <w:basedOn w:val="DefaultParagraphFont"/>
    <w:uiPriority w:val="22"/>
    <w:qFormat/>
    <w:rsid w:val="00435BD2"/>
    <w:rPr>
      <w:b/>
      <w:bCs/>
    </w:rPr>
  </w:style>
  <w:style w:type="paragraph" w:styleId="ListParagraph">
    <w:name w:val="List Paragraph"/>
    <w:basedOn w:val="Normal"/>
    <w:uiPriority w:val="34"/>
    <w:qFormat/>
    <w:rsid w:val="00C84CD6"/>
    <w:pPr>
      <w:ind w:left="720"/>
      <w:contextualSpacing/>
    </w:pPr>
  </w:style>
  <w:style w:type="paragraph" w:styleId="Header">
    <w:name w:val="header"/>
    <w:basedOn w:val="Normal"/>
    <w:link w:val="HeaderChar"/>
    <w:uiPriority w:val="99"/>
    <w:unhideWhenUsed/>
    <w:rsid w:val="00C84C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4CD6"/>
  </w:style>
  <w:style w:type="paragraph" w:styleId="Footer">
    <w:name w:val="footer"/>
    <w:basedOn w:val="Normal"/>
    <w:link w:val="FooterChar"/>
    <w:uiPriority w:val="99"/>
    <w:unhideWhenUsed/>
    <w:rsid w:val="00C84C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4C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2508281">
      <w:bodyDiv w:val="1"/>
      <w:marLeft w:val="0"/>
      <w:marRight w:val="0"/>
      <w:marTop w:val="0"/>
      <w:marBottom w:val="0"/>
      <w:divBdr>
        <w:top w:val="none" w:sz="0" w:space="0" w:color="auto"/>
        <w:left w:val="none" w:sz="0" w:space="0" w:color="auto"/>
        <w:bottom w:val="none" w:sz="0" w:space="0" w:color="auto"/>
        <w:right w:val="none" w:sz="0" w:space="0" w:color="auto"/>
      </w:divBdr>
    </w:div>
    <w:div w:id="209180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Mahadik</dc:creator>
  <cp:keywords/>
  <dc:description/>
  <cp:lastModifiedBy>Aniket Mahadik</cp:lastModifiedBy>
  <cp:revision>1</cp:revision>
  <dcterms:created xsi:type="dcterms:W3CDTF">2024-10-28T16:15:00Z</dcterms:created>
  <dcterms:modified xsi:type="dcterms:W3CDTF">2024-10-28T16:45:00Z</dcterms:modified>
</cp:coreProperties>
</file>