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b/>
          <w:color w:val="14234B"/>
          <w:sz w:val="48"/>
        </w:rPr>
        <w:t>CUSTOMER ENGAGEMENT &amp;</w:t>
        <w:br/>
        <w:t>PRODUCT UTILIZATION ANALYTICS</w:t>
        <w:br/>
        <w:t>FOR RETENTION STRATEGY</w:t>
      </w:r>
    </w:p>
    <w:p>
      <w:pPr>
        <w:jc w:val="center"/>
      </w:pPr>
      <w:r>
        <w:rPr>
          <w:color w:val="375591"/>
          <w:sz w:val="28"/>
        </w:rPr>
        <w:t>Executive Summary for Retention Stakeholders</w:t>
      </w:r>
    </w:p>
    <w:p/>
    <w:p>
      <w:pPr>
        <w:jc w:val="center"/>
      </w:pPr>
      <w:r>
        <w:rPr>
          <w:i/>
          <w:sz w:val="22"/>
        </w:rPr>
        <w:t>Data Analytics | Customer Retention | Streamlit | Machine Learning</w:t>
      </w:r>
    </w:p>
    <w:p/>
    <w:p>
      <w:pPr>
        <w:jc w:val="center"/>
      </w:pPr>
      <w:r>
        <w:rPr>
          <w:b/>
          <w:sz w:val="24"/>
        </w:rPr>
        <w:t>Prepared by</w:t>
        <w:br/>
        <w:t>Aniket Chakraborty</w:t>
      </w:r>
    </w:p>
    <w:p>
      <w:pPr>
        <w:spacing w:before="800"/>
        <w:jc w:val="center"/>
      </w:pPr>
      <w:r>
        <w:rPr>
          <w:sz w:val="22"/>
        </w:rPr>
        <w:t>2026</w:t>
      </w:r>
    </w:p>
    <w:p>
      <w:r>
        <w:br w:type="page"/>
      </w:r>
    </w:p>
    <w:p>
      <w:pPr>
        <w:pStyle w:val="Heading1"/>
      </w:pPr>
      <w:r>
        <w:t>Decision Summary</w:t>
      </w:r>
    </w:p>
    <w:p>
      <w:r>
        <w:t>The bank retains 79.63% of customers in the historical dataset, but churn rises sharply when relationships become inactive or product configuration is weak. Inactive customers churn at 26.85%; active customers churn at 14.27%. Germany has the highest market churn at 32.44%.</w:t>
      </w:r>
    </w:p>
    <w:p>
      <w:pPr>
        <w:pStyle w:val="Heading1"/>
      </w:pPr>
      <w:r>
        <w:t>Most Important Findings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592"/>
            <w:shd w:fill="1E3A70"/>
            <w:vAlign w:val="center"/>
          </w:tcPr>
          <w:p>
            <w:r>
              <w:rPr>
                <w:b/>
                <w:color w:val="FFFFFF"/>
                <w:sz w:val="16"/>
              </w:rPr>
              <w:t>Finding</w:t>
            </w:r>
          </w:p>
        </w:tc>
        <w:tc>
          <w:tcPr>
            <w:tcW w:type="dxa" w:w="3168"/>
            <w:shd w:fill="1E3A70"/>
            <w:vAlign w:val="center"/>
          </w:tcPr>
          <w:p>
            <w:r>
              <w:rPr>
                <w:b/>
                <w:color w:val="FFFFFF"/>
                <w:sz w:val="16"/>
              </w:rPr>
              <w:t>Evidence</w:t>
            </w:r>
          </w:p>
        </w:tc>
        <w:tc>
          <w:tcPr>
            <w:tcW w:type="dxa" w:w="4752"/>
            <w:shd w:fill="1E3A70"/>
            <w:vAlign w:val="center"/>
          </w:tcPr>
          <w:p>
            <w:r>
              <w:rPr>
                <w:b/>
                <w:color w:val="FFFFFF"/>
                <w:sz w:val="16"/>
              </w:rPr>
              <w:t>Recommended action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6"/>
              </w:rPr>
              <w:t>Inactive customer risk</w:t>
            </w:r>
          </w:p>
        </w:tc>
        <w:tc>
          <w:tcPr>
            <w:tcW w:type="dxa" w:w="3168"/>
            <w:vAlign w:val="center"/>
          </w:tcPr>
          <w:p>
            <w:r>
              <w:rPr>
                <w:sz w:val="16"/>
              </w:rPr>
              <w:t>26.85% churn</w:t>
            </w:r>
          </w:p>
        </w:tc>
        <w:tc>
          <w:tcPr>
            <w:tcW w:type="dxa" w:w="4752"/>
            <w:vAlign w:val="center"/>
          </w:tcPr>
          <w:p>
            <w:r>
              <w:rPr>
                <w:sz w:val="16"/>
              </w:rPr>
              <w:t>Launch reactivation journeys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6"/>
              </w:rPr>
              <w:t>Premium disengagement</w:t>
            </w:r>
          </w:p>
        </w:tc>
        <w:tc>
          <w:tcPr>
            <w:tcW w:type="dxa" w:w="3168"/>
            <w:vAlign w:val="center"/>
          </w:tcPr>
          <w:p>
            <w:r>
              <w:rPr>
                <w:sz w:val="16"/>
              </w:rPr>
              <w:t>30.47% churn among inactive premium customers</w:t>
            </w:r>
          </w:p>
        </w:tc>
        <w:tc>
          <w:tcPr>
            <w:tcW w:type="dxa" w:w="4752"/>
            <w:vAlign w:val="center"/>
          </w:tcPr>
          <w:p>
            <w:r>
              <w:rPr>
                <w:sz w:val="16"/>
              </w:rPr>
              <w:t>Relationship-manager priority queue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6"/>
              </w:rPr>
              <w:t>One-product weakness</w:t>
            </w:r>
          </w:p>
        </w:tc>
        <w:tc>
          <w:tcPr>
            <w:tcW w:type="dxa" w:w="3168"/>
            <w:vAlign w:val="center"/>
          </w:tcPr>
          <w:p>
            <w:r>
              <w:rPr>
                <w:sz w:val="16"/>
              </w:rPr>
              <w:t>27.71% churn</w:t>
            </w:r>
          </w:p>
        </w:tc>
        <w:tc>
          <w:tcPr>
            <w:tcW w:type="dxa" w:w="4752"/>
            <w:vAlign w:val="center"/>
          </w:tcPr>
          <w:p>
            <w:r>
              <w:rPr>
                <w:sz w:val="16"/>
              </w:rPr>
              <w:t>Needs-based second-product offers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6"/>
              </w:rPr>
              <w:t>Two-product strength</w:t>
            </w:r>
          </w:p>
        </w:tc>
        <w:tc>
          <w:tcPr>
            <w:tcW w:type="dxa" w:w="3168"/>
            <w:vAlign w:val="center"/>
          </w:tcPr>
          <w:p>
            <w:r>
              <w:rPr>
                <w:sz w:val="16"/>
              </w:rPr>
              <w:t>7.58% churn</w:t>
            </w:r>
          </w:p>
        </w:tc>
        <w:tc>
          <w:tcPr>
            <w:tcW w:type="dxa" w:w="4752"/>
            <w:vAlign w:val="center"/>
          </w:tcPr>
          <w:p>
            <w:r>
              <w:rPr>
                <w:sz w:val="16"/>
              </w:rPr>
              <w:t>Use as relationship-depth benchmark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6"/>
              </w:rPr>
              <w:t>Germany priority</w:t>
            </w:r>
          </w:p>
        </w:tc>
        <w:tc>
          <w:tcPr>
            <w:tcW w:type="dxa" w:w="3168"/>
            <w:vAlign w:val="center"/>
          </w:tcPr>
          <w:p>
            <w:r>
              <w:rPr>
                <w:sz w:val="16"/>
              </w:rPr>
              <w:t>32.44% churn</w:t>
            </w:r>
          </w:p>
        </w:tc>
        <w:tc>
          <w:tcPr>
            <w:tcW w:type="dxa" w:w="4752"/>
            <w:vAlign w:val="center"/>
          </w:tcPr>
          <w:p>
            <w:r>
              <w:rPr>
                <w:sz w:val="16"/>
              </w:rPr>
              <w:t>Localized root-cause pilot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6"/>
              </w:rPr>
              <w:t>Credit-card signal</w:t>
            </w:r>
          </w:p>
        </w:tc>
        <w:tc>
          <w:tcPr>
            <w:tcW w:type="dxa" w:w="3168"/>
            <w:vAlign w:val="center"/>
          </w:tcPr>
          <w:p>
            <w:r>
              <w:rPr>
                <w:sz w:val="16"/>
              </w:rPr>
              <w:t>20.18% vs 20.81%</w:t>
            </w:r>
          </w:p>
        </w:tc>
        <w:tc>
          <w:tcPr>
            <w:tcW w:type="dxa" w:w="4752"/>
            <w:vAlign w:val="center"/>
          </w:tcPr>
          <w:p>
            <w:r>
              <w:rPr>
                <w:sz w:val="16"/>
              </w:rPr>
              <w:t>Do not rely on ownership alone</w:t>
            </w:r>
          </w:p>
        </w:tc>
      </w:tr>
    </w:tbl>
    <w:p>
      <w:pPr>
        <w:pStyle w:val="Heading1"/>
      </w:pPr>
      <w:r>
        <w:t>90-Day Action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016"/>
            <w:shd w:fill="1E3A70"/>
            <w:vAlign w:val="center"/>
          </w:tcPr>
          <w:p>
            <w:r>
              <w:rPr>
                <w:b/>
                <w:color w:val="FFFFFF"/>
                <w:sz w:val="18"/>
              </w:rPr>
              <w:t>Period</w:t>
            </w:r>
          </w:p>
        </w:tc>
        <w:tc>
          <w:tcPr>
            <w:tcW w:type="dxa" w:w="8496"/>
            <w:shd w:fill="1E3A70"/>
            <w:vAlign w:val="center"/>
          </w:tcPr>
          <w:p>
            <w:r>
              <w:rPr>
                <w:b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sz w:val="18"/>
              </w:rPr>
              <w:t>0-30 days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8"/>
              </w:rPr>
              <w:t>Validate premium risk list, assign owners, review Germany and 3+/4-product customer cases.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sz w:val="18"/>
              </w:rPr>
              <w:t>31-60 days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8"/>
              </w:rPr>
              <w:t>Run controlled reactivation and one-to-two-product pilots with holdout groups.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sz w:val="18"/>
              </w:rPr>
              <w:t>61-90 days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8"/>
              </w:rPr>
              <w:t>Measure retained balances, response, complaints, fairness outcomes and incremental retention.</w:t>
            </w:r>
          </w:p>
        </w:tc>
      </w:tr>
    </w:tbl>
    <w:p>
      <w:pPr>
        <w:pStyle w:val="Heading1"/>
      </w:pPr>
      <w:r>
        <w:t>Governance</w:t>
      </w:r>
    </w:p>
    <w:p>
      <w:pPr>
        <w:pStyle w:val="ListBullet"/>
      </w:pPr>
      <w:r>
        <w:t>Use predictions to prioritize human review, not to automate adverse customer decisions.</w:t>
      </w:r>
    </w:p>
    <w:p>
      <w:pPr>
        <w:pStyle w:val="ListBullet"/>
      </w:pPr>
      <w:r>
        <w:t>Gender is excluded from operational prediction and retained for fairness monitoring.</w:t>
      </w:r>
    </w:p>
    <w:p>
      <w:pPr>
        <w:pStyle w:val="ListBullet"/>
      </w:pPr>
      <w:r>
        <w:t>Validate extreme product-count findings because the 3- and 4-product groups are small.</w:t>
      </w:r>
    </w:p>
    <w:p>
      <w:pPr>
        <w:pStyle w:val="ListBullet"/>
      </w:pPr>
      <w:r>
        <w:t>Track intervention lift against untreated control groups before scaling.</w:t>
      </w:r>
    </w:p>
    <w:p>
      <w:pPr>
        <w:pStyle w:val="Heading1"/>
      </w:pPr>
      <w:r>
        <w:t>Delivered System</w:t>
      </w:r>
    </w:p>
    <w:p>
      <w:r>
        <w:t>The Streamlit dashboard provides live filters, executive KPIs, engagement and product analysis, premium-risk mapping, a downloadable priority queue, model performance, feature importance, a customer risk simulator and searchable customer records.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234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3468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8375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4234B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Engagement and Product Utilization Analytics for Retention Strategy</dc:title>
  <dc:subject>Customer retention analytics project</dc:subject>
  <dc:creator>Aniket Chakraborty</dc:creator>
  <cp:keywords>customer retention, engagement analytics, product utilization, Streamlit, machine learning</cp:keywords>
  <dc:description/>
  <cp:lastModifiedBy>Aniket Chakraborty</cp:lastModifiedBy>
  <cp:revision>1</cp:revision>
  <dcterms:created xsi:type="dcterms:W3CDTF">2013-12-23T23:15:00Z</dcterms:created>
  <dcterms:modified xsi:type="dcterms:W3CDTF">2013-12-23T23:15:00Z</dcterms:modified>
  <cp:category/>
</cp:coreProperties>
</file>