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5610828399658" w:lineRule="auto"/>
        <w:ind w:left="131.09268188476562" w:right="-6.4001464843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Research papers on customer segmentation using Machine  learning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43969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Document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Document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Document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left"/>
        <w:rPr>
          <w:rFonts w:ascii="Calibri" w:cs="Calibri" w:eastAsia="Calibri" w:hAnsi="Calibri"/>
          <w:color w:val="0563c1"/>
          <w:sz w:val="22.079999923706055"/>
          <w:szCs w:val="22.079999923706055"/>
          <w:u w:val="singl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2.079999923706055"/>
            <w:szCs w:val="22.079999923706055"/>
            <w:u w:val="single"/>
            <w:rtl w:val="0"/>
          </w:rPr>
          <w:t xml:space="preserve">Document 4</w:t>
        </w:r>
      </w:hyperlink>
      <w:r w:rsidDel="00000000" w:rsidR="00000000" w:rsidRPr="00000000">
        <w:rPr>
          <w:rtl w:val="0"/>
        </w:rPr>
      </w:r>
    </w:p>
    <w:sectPr>
      <w:pgSz w:h="16820" w:w="11900" w:orient="portrait"/>
      <w:pgMar w:bottom="12731.600341796875" w:top="1426.0009765625" w:left="1459.027099609375" w:right="1481.440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y5LYhddh5gvSbG7oBr2SBHQXE31LKqY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