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Kena → to_Šiaudinė (186A)</w:t>
      </w:r>
    </w:p>
    <w:p>
      <w:pPr>
        <w:jc w:val="center"/>
      </w:pPr>
      <w:r>
        <w:rPr>
          <w:b/>
        </w:rPr>
        <w:t>nuo 2025 11 25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9360"/>
      </w:tblGrid>
      <w:tr>
        <w:tc>
          <w:tcPr>
            <w:tcW w:type="dxa" w:w="1008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9360"/>
          </w:tcPr>
          <w:p>
            <w:r>
              <w:rPr>
                <w:sz w:val="20"/>
              </w:rPr>
              <w:t>07:07 D 08:07 SŠ 11:15 DSŠ 12:00 DSŠ 14:09 SŠ 14:42 D 14:48 SŠ 15:20 D</w:t>
            </w:r>
          </w:p>
        </w:tc>
      </w:tr>
      <w:tr>
        <w:tc>
          <w:tcPr>
            <w:tcW w:type="dxa" w:w="1008"/>
          </w:tcPr>
          <w:p>
            <w:r/>
          </w:p>
        </w:tc>
        <w:tc>
          <w:tcPr>
            <w:tcW w:type="dxa" w:w="9360"/>
          </w:tcPr>
          <w:p>
            <w:r/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