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Cybersecurity Regulation in Indian Financial Services: A Regulatory and Operational Assessment</w:t>
      </w:r>
    </w:p>
    <w:p>
      <w:pPr>
        <w:pStyle w:val="Author"/>
      </w:pPr>
      <w:r>
        <w:t xml:space="preserve">Research Agent v3.0</w:t>
      </w:r>
    </w:p>
    <w:p>
      <w:pPr>
        <w:pStyle w:val="Date"/>
      </w:pPr>
      <w:r>
        <w:t xml:space="preserve">26 July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2" w:name="X5cacf5d532f377be6224817d5e584401a4ab7ad"/>
    <w:p>
      <w:pPr>
        <w:pStyle w:val="Heading1"/>
      </w:pPr>
      <w:r>
        <w:t xml:space="preserve">Cybersecurity Regulation in Indian Financial Services: A Regulatory and Operational Assessment</w:t>
      </w:r>
    </w:p>
    <w:bookmarkStart w:id="14" w:name="research-scope-methodology"/>
    <w:p>
      <w:pPr>
        <w:pStyle w:val="Heading2"/>
      </w:pPr>
      <w:r>
        <w:t xml:space="preserve">1. Research Scope &amp; Methodology</w:t>
      </w:r>
    </w:p>
    <w:bookmarkStart w:id="9" w:name="primary-research-question"/>
    <w:p>
      <w:pPr>
        <w:pStyle w:val="Heading3"/>
      </w:pPr>
      <w:r>
        <w:t xml:space="preserve">1.1 Primary Research Question</w:t>
      </w:r>
    </w:p>
    <w:p>
      <w:pPr>
        <w:pStyle w:val="FirstParagraph"/>
      </w:pPr>
      <w:r>
        <w:t xml:space="preserve">What is the current regulatory landscape for cybersecurity in Indian financial services, how do the main regulatory obligations differ across banks, securities firms, insurers, and IFSC entities, and what governance priorities should boards and senior leaders adopt to remain compliant and resilient? [Analyst Perspective]</w:t>
      </w:r>
    </w:p>
    <w:bookmarkEnd w:id="9"/>
    <w:bookmarkStart w:id="10" w:name="scope"/>
    <w:p>
      <w:pPr>
        <w:pStyle w:val="Heading3"/>
      </w:pPr>
      <w:r>
        <w:t xml:space="preserve">1.2 Scope</w:t>
      </w:r>
    </w:p>
    <w:p>
      <w:pPr>
        <w:pStyle w:val="FirstParagraph"/>
      </w:pPr>
      <w:r>
        <w:t xml:space="preserve">This report focuses on India’s financial-services sector, including scheduled commercial banks, co-operative banks where relevant, non-bank financial companies, securities-market intermediaries, market infrastructure institutions, insurers, pension intermediaries, and entities operating in India’s International Financial Services Centre ecosystem. The time horizon is current state with forward-looking implications for the next three years, because cybersecurity regulation in this sector is changing through a combination of hard incident-reporting rules, sectoral cyber-resilience frameworks, data-governance obligations, and supervisory expectations. The intended audience is board members, chief executives, chief risk officers, chief information security officers, compliance leaders, and policymakers who need a concise but decision-oriented synthesis of the regulatory environment. [Analyst Perspective]</w:t>
      </w:r>
    </w:p>
    <w:bookmarkEnd w:id="10"/>
    <w:bookmarkStart w:id="11" w:name="methodology"/>
    <w:p>
      <w:pPr>
        <w:pStyle w:val="Heading3"/>
      </w:pPr>
      <w:r>
        <w:t xml:space="preserve">1.3 Methodology</w:t>
      </w:r>
    </w:p>
    <w:p>
      <w:pPr>
        <w:pStyle w:val="FirstParagraph"/>
      </w:pPr>
      <w:r>
        <w:t xml:space="preserve">The report was structured using the Research Report Skill v2.0, and it was intended to be sourced through the Web Research Skill v1.0 using live browser discovery followed by full-content retrieval. In this environment, that workflow could not be executed because external web access to the relevant domains was blocked by network policy. The analysis therefore uses pre-trained domain knowledge and regulatory synthesis only. The report is written as an analyst perspective rather than as a live-source fact sheet. That means the document can support orientation, hypothesis formation, and planning, but it should not be treated as a substitute for direct review of the latest RBI, SEBI, CERT-In, IFSCA, IRDAI, and PFRDA publications before taking operational or legal decisions. [Analyst Perspective]</w:t>
      </w:r>
    </w:p>
    <w:bookmarkEnd w:id="11"/>
    <w:bookmarkStart w:id="12" w:name="limitations"/>
    <w:p>
      <w:pPr>
        <w:pStyle w:val="Heading3"/>
      </w:pPr>
      <w:r>
        <w:t xml:space="preserve">1.4 Limitations</w:t>
      </w:r>
    </w:p>
    <w:p>
      <w:pPr>
        <w:pStyle w:val="FirstParagraph"/>
      </w:pPr>
      <w:r>
        <w:t xml:space="preserve">The main limitation is the absence of live retrieval and cross-verification. The result is lower confidence in exact dates, circular identifiers, and any regulatory detail that may have changed after the training cutoff. The report deliberately avoids presenting itself as externally cited research. It instead separates regulatory synthesis, governance implications, and strategic recommendations from claims that would normally require source verification. A second limitation is that cybersecurity regulation in Indian financial services is not controlled by a single regulator; the regime is distributed across prudential, market, insurance, payments, and incident-response authorities. That fragmentation creates a real analytical challenge because a board can be compliant with one regime and still exposed under another. A third limitation is that the operational burden of cyber regulation varies greatly by institution size, digital intensity, and outsourcing model, so any sector-wide conclusion should be interpreted as directional rather than universal. [Analyst Perspective]</w:t>
      </w:r>
    </w:p>
    <w:bookmarkEnd w:id="12"/>
    <w:bookmarkStart w:id="13" w:name="web-research-notes"/>
    <w:p>
      <w:pPr>
        <w:pStyle w:val="Heading3"/>
      </w:pPr>
      <w:r>
        <w:t xml:space="preserve">1.5 Web Research Notes</w:t>
      </w:r>
    </w:p>
    <w:p>
      <w:pPr>
        <w:pStyle w:val="Compact"/>
        <w:numPr>
          <w:ilvl w:val="0"/>
          <w:numId w:val="1001"/>
        </w:numPr>
      </w:pPr>
      <w:r>
        <w:t xml:space="preserve">Browser tool status: UNAVAILABLE</w:t>
      </w:r>
    </w:p>
    <w:p>
      <w:pPr>
        <w:pStyle w:val="Compact"/>
        <w:numPr>
          <w:ilvl w:val="0"/>
          <w:numId w:val="1001"/>
        </w:numPr>
      </w:pPr>
      <w:r>
        <w:t xml:space="preserve">Fetch tool status: UNAVAILABLE</w:t>
      </w:r>
    </w:p>
    <w:p>
      <w:pPr>
        <w:pStyle w:val="Compact"/>
        <w:numPr>
          <w:ilvl w:val="0"/>
          <w:numId w:val="1001"/>
        </w:numPr>
      </w:pPr>
      <w:r>
        <w:t xml:space="preserve">Queries executed: 0</w:t>
      </w:r>
    </w:p>
    <w:p>
      <w:pPr>
        <w:pStyle w:val="Compact"/>
        <w:numPr>
          <w:ilvl w:val="0"/>
          <w:numId w:val="1001"/>
        </w:numPr>
      </w:pPr>
      <w:r>
        <w:t xml:space="preserve">URLs evaluated in search results: 0</w:t>
      </w:r>
    </w:p>
    <w:p>
      <w:pPr>
        <w:pStyle w:val="Compact"/>
        <w:numPr>
          <w:ilvl w:val="0"/>
          <w:numId w:val="1001"/>
        </w:numPr>
      </w:pPr>
      <w:r>
        <w:t xml:space="preserve">URLs fetched: 0</w:t>
      </w:r>
    </w:p>
    <w:p>
      <w:pPr>
        <w:pStyle w:val="Compact"/>
        <w:numPr>
          <w:ilvl w:val="0"/>
          <w:numId w:val="1001"/>
        </w:numPr>
      </w:pPr>
      <w:r>
        <w:t xml:space="preserve">Source tier breakdown: Tier 1: 0 | Tier 2: 0 | Tier 3: 0</w:t>
      </w:r>
    </w:p>
    <w:p>
      <w:pPr>
        <w:pStyle w:val="Compact"/>
        <w:numPr>
          <w:ilvl w:val="0"/>
          <w:numId w:val="1001"/>
        </w:numPr>
      </w:pPr>
      <w:r>
        <w:t xml:space="preserve">Date range of sources used: N/A</w:t>
      </w:r>
    </w:p>
    <w:p>
      <w:pPr>
        <w:pStyle w:val="Compact"/>
        <w:numPr>
          <w:ilvl w:val="0"/>
          <w:numId w:val="1001"/>
        </w:numPr>
      </w:pPr>
      <w:r>
        <w:t xml:space="preserve">Sources sought but unavailable: RBI cyber security framework for banks, RBI IT/cyber governance guidance for regulated entities, CERT-In incident-reporting directions, SEBI cyber security and cyber resilience framework, IFSCA cyber-resilience circulars, IRDAI cyber security guidance, PFRDA security guidance, and related supervisory communications. [Analyst Perspective]</w:t>
      </w:r>
    </w:p>
    <w:p>
      <w:pPr>
        <w:pStyle w:val="FirstParagraph"/>
      </w:pPr>
      <w:r>
        <w:t xml:space="preserve">This report was produced without active web search capability. Source URLs could not be retrieved in this environment, so all content reflects pre-trained knowledge and should be treated as indicative rather than as a live-source fact sheet. Any time-sensitive regulatory detail should be independently verified before use. [Analyst Perspective]</w:t>
      </w:r>
    </w:p>
    <w:bookmarkEnd w:id="13"/>
    <w:bookmarkEnd w:id="14"/>
    <w:bookmarkStart w:id="15" w:name="executive-summary"/>
    <w:p>
      <w:pPr>
        <w:pStyle w:val="Heading2"/>
      </w:pPr>
      <w:r>
        <w:t xml:space="preserve">2. Executive Summary</w:t>
      </w:r>
    </w:p>
    <w:p>
      <w:pPr>
        <w:pStyle w:val="FirstParagraph"/>
      </w:pPr>
      <w:r>
        <w:t xml:space="preserve">Cybersecurity regulation in Indian financial services has matured from a narrow IT-control conversation into a broader resilience, governance, and accountability regime. The central policy direction is clear: financial institutions are expected to maintain board-approved cyber policies, incident-response capability, log retention, vendor oversight, and evidence that cyber risk is being managed as an enterprise risk rather than as a purely technical concern. In practice, the regime is strongest where the regulator has issued explicit directions and where supervisory scrutiny is high, especially in banking, capital markets, and the IFSC ecosystem. The overall direction is toward tighter incident reporting, stronger board accountability, and more continuous control testing. [Analyst Perspective]</w:t>
      </w:r>
    </w:p>
    <w:p>
      <w:pPr>
        <w:pStyle w:val="BodyText"/>
      </w:pPr>
      <w:r>
        <w:t xml:space="preserve">The first major finding is that India’s cyber-regulatory architecture is fragmented but converging. RBI-led expectations for banks, CERT-In directions that cut across sectors, SEBI requirements for market entities, and IFSCA/IRDAI/PFRDA guidance all point toward the same core standards: quicker detection, better logging, clearer escalation, and stronger governance. The convergence matters because firms increasingly operate across products and entities. A banking group may have a bank, a broker, an asset-management arm, and a digital-lending platform, each subject to slightly different expectations. The practical challenge is therefore less about understanding the principle of cyber security and more about harmonizing controls across a group structure. [Analyst Perspective]</w:t>
      </w:r>
    </w:p>
    <w:p>
      <w:pPr>
        <w:pStyle w:val="BodyText"/>
      </w:pPr>
      <w:r>
        <w:t xml:space="preserve">The second major finding is that incident reporting and response readiness are among the hardest obligations to operationalize. Many firms can write a policy, but far fewer can demonstrate that they can detect, triage, contain, and report a material event within the required timeframes while preserving evidence and maintaining business continuity. This is where regulatory intent becomes operational pressure. In mature institutions, the deciding factors are not just tools but processes: who decides severity, who can authorize containment, how evidence is preserved, how third parties are pulled into an incident, and how the board is informed. The institutions that invest in rehearsed playbooks and measurable recovery objectives are more likely to satisfy both regulators and clients. [Analyst Perspective]</w:t>
      </w:r>
    </w:p>
    <w:p>
      <w:pPr>
        <w:pStyle w:val="BodyText"/>
      </w:pPr>
      <w:r>
        <w:t xml:space="preserve">The third major finding is that third-party risk is now a core cyber-regulatory issue. Cloud providers, managed service providers, fintech partners, authentication vendors, and data-processing intermediaries can all become critical failure points. The regulation increasingly expects institutions to understand dependency chains, define security obligations contractually, monitor vendors continuously, and ensure that outsourced activities do not dilute accountability. This is especially important in financial services because digital scale often depends on a dense partner ecosystem. The supervisory expectation is no longer that a bank or insurer merely “uses” a vendor; it is that it governs the vendor as part of its own risk perimeter. [Analyst Perspective]</w:t>
      </w:r>
    </w:p>
    <w:p>
      <w:pPr>
        <w:pStyle w:val="BodyText"/>
      </w:pPr>
      <w:r>
        <w:t xml:space="preserve">The fourth major finding is that the sector is moving from periodic compliance to continuous resilience. That means cyber security is now tied to board governance, internal audit, crisis management, business continuity, data classification, identity management, and management information systems. The institutions that do best are likely to be those that simplify their control environment, focus on resilience outcomes, and integrate cyber oversight into enterprise risk reporting rather than keeping it isolated within IT. The top recommendation is therefore to build an enterprise cyber-governance model with board ownership, measurable control assurance, and quarterly resilience testing. Without that, the sector may remain technically compliant while still being operationally fragile. [Analyst Perspective]</w:t>
      </w:r>
    </w:p>
    <w:bookmarkEnd w:id="15"/>
    <w:bookmarkStart w:id="16" w:name="context-background"/>
    <w:p>
      <w:pPr>
        <w:pStyle w:val="Heading2"/>
      </w:pPr>
      <w:r>
        <w:t xml:space="preserve">3. Context &amp; Background</w:t>
      </w:r>
    </w:p>
    <w:p>
      <w:pPr>
        <w:pStyle w:val="FirstParagraph"/>
      </w:pPr>
      <w:r>
        <w:t xml:space="preserve">Cybersecurity regulation in Indian financial services matters now because the sector has become one of the country’s most digital, interconnected, and high-trust environments. Payments have moved to instant rails, customer journeys are increasingly app-based, and lending, onboarding, service, and collections now depend heavily on data, APIs, and third-party integrations. That digital intensity brings efficiency and inclusion benefits, but it also expands the attack surface. A compromise at a bank, broker, insurer, or fintech partner can affect customer balances, transaction integrity, market confidence, and systemic trust. The regulatory response is therefore not simply about preventing hacks; it is about preserving the credibility of the financial system. [Analyst Perspective]</w:t>
      </w:r>
    </w:p>
    <w:p>
      <w:pPr>
        <w:pStyle w:val="BodyText"/>
      </w:pPr>
      <w:r>
        <w:t xml:space="preserve">The architecture of oversight is layered. Prudential regulation in banking has long treated technology risk as a supervisory issue because operational failure can quickly become a financial-stability issue. Securities regulators focus on market integrity, client assets, access controls, and business continuity because outages or breaches can disrupt trading, custody, advisory, and settlement activities. Insurance and pension regulators are concerned with confidentiality, policyholder trust, claim handling, and continuity of services. CERT-In sits across the system as a national incident-response authority, while the data-protection regime adds a privacy and governance layer. The result is a system in which cyber security is governed not by one instrument but by a stack of obligations that overlap and reinforce one another. [Analyst Perspective]</w:t>
      </w:r>
    </w:p>
    <w:p>
      <w:pPr>
        <w:pStyle w:val="BodyText"/>
      </w:pPr>
      <w:r>
        <w:t xml:space="preserve">Several terms are central to understanding the topic. Cybersecurity refers to preventive, detective, and responsive controls that protect systems, data, and services from unauthorized access, disruption, or manipulation. Cyber resilience goes beyond prevention and asks whether an institution can continue operating, recover quickly, and preserve trust after an incident. Operational resilience is the broader concept that includes cyber but also process failure, technology outage, third-party disruption, and staff or site unavailability. In financial services, these concepts are inseparable because a cyber incident is often also an operational incident. [Analyst Perspective]</w:t>
      </w:r>
    </w:p>
    <w:p>
      <w:pPr>
        <w:pStyle w:val="BodyText"/>
      </w:pPr>
      <w:r>
        <w:t xml:space="preserve">Historically, Indian financial regulation began with basic IT controls, access management, and perimeter security. Over time, the emphasis widened toward governance, monitoring, and incident response, reflecting the reality that perimeter defenses alone are inadequate in cloud-connected, mobile-first institutions. The regulatory posture also shifted because threats evolved: phishing, credential theft, ransomware, supply-chain compromise, account takeover, and social engineering became more important than simple malware. As digital banking and payment ecosystems expanded, regulators had to respond to a world where time-to-detect and time-to-contain mattered as much as prevention. [Analyst Perspective]</w:t>
      </w:r>
    </w:p>
    <w:p>
      <w:pPr>
        <w:pStyle w:val="BodyText"/>
      </w:pPr>
      <w:r>
        <w:t xml:space="preserve">This background matters because it explains why current cyber regulation often reads like an operating model rather than a technical checklist. Regulators increasingly care about whether the board has approved policy, whether the institution tests controls, whether incidents are reported quickly, whether logs are retained, whether suppliers are governed, and whether the institution can evidence readiness under stress. The practical implication is that cyber regulation is now a governance discipline. A board that treats it as a technology annex is likely to underinvest in the organizational capabilities that supervisors now expect. [Analyst Perspective]</w:t>
      </w:r>
    </w:p>
    <w:p>
      <w:pPr>
        <w:pStyle w:val="BodyText"/>
      </w:pPr>
      <w:r>
        <w:t xml:space="preserve">The Indian context also matters because many financial institutions operate at scale with uneven legacy systems. Large banks may have relatively mature SOCs and incident processes, while smaller entities may rely more heavily on vendors, shared services, or fragmented controls. That unevenness means regulatory compliance will not look identical across the market. The same rule can be trivial for one institution and transformational for another. The strategic question is therefore not whether the rules exist, but whether institutions can build a control environment robust enough to satisfy them consistently. [Analyst Perspective]</w:t>
      </w:r>
    </w:p>
    <w:bookmarkEnd w:id="16"/>
    <w:bookmarkStart w:id="21" w:name="research-findings"/>
    <w:p>
      <w:pPr>
        <w:pStyle w:val="Heading2"/>
      </w:pPr>
      <w:r>
        <w:t xml:space="preserve">4. Research Findings</w:t>
      </w:r>
    </w:p>
    <w:bookmarkStart w:id="17" w:name="X3dcaea1d4ae2b6f596ad9be5c19de8d436ff0c0"/>
    <w:p>
      <w:pPr>
        <w:pStyle w:val="Heading3"/>
      </w:pPr>
      <w:r>
        <w:t xml:space="preserve">4.1 The regime is converging around resilience, but implementation is still segmented by regulator and institution type</w:t>
      </w:r>
    </w:p>
    <w:p>
      <w:pPr>
        <w:pStyle w:val="FirstParagraph"/>
      </w:pPr>
      <w:r>
        <w:t xml:space="preserve">India’s cybersecurity regulation for financial services is best understood as a converging regime with segmented implementation. The convergence is visible in the shared requirements that recur across regulators: governance at board level, incident preparedness, continuous monitoring, logging, third-party oversight, and business continuity. The segmentation is visible in how those themes are expressed. Banks are subject to prudential supervision that treats cyber security as an operational-risk and stability issue. Securities firms face a more market-integrity oriented regime. Insurers and pension entities face sector-specific expectations that emphasize service continuity, confidentiality, and control assurance. IFSC entities are pulled toward an international-style resilience model that tries to align with global standards while staying within India’s regulatory architecture. [Analyst Perspective]</w:t>
      </w:r>
    </w:p>
    <w:p>
      <w:pPr>
        <w:pStyle w:val="BodyText"/>
      </w:pPr>
      <w:r>
        <w:t xml:space="preserve">This matters because institutions often assume that “cyber compliance” is one thing when it is actually several partially aligned obligations. A banking group with a broker, a lender, and a wealth-management arm may need different control baselines, different reporting lines, and different audit evidence for each legal entity. That complexity is not just administrative. It creates a real risk that controls are built around the most visible regulation while weaker entities remain under-governed. The sector is therefore moving toward harmonization in principle but not yet full harmonization in practice. [Analyst Perspective]</w:t>
      </w:r>
    </w:p>
    <w:p>
      <w:pPr>
        <w:pStyle w:val="BodyText"/>
      </w:pPr>
      <w:r>
        <w:t xml:space="preserve">The most important supervisory message is that cyber regulation is no longer only about technical controls. Supervisors expect institutions to demonstrate resilience as an outcome. That means they want evidence of rehearsed incident management, board visibility, outsourced-service oversight, and recovery capability. This is a more demanding standard because an institution can no longer rely on a static policy or a periodic audit to show adequacy. Instead, it must show that controls operate under stress and that management understands dependencies across systems, vendors, and business lines. [Analyst Perspective]</w:t>
      </w:r>
    </w:p>
    <w:p>
      <w:pPr>
        <w:pStyle w:val="BodyText"/>
      </w:pPr>
      <w:r>
        <w:t xml:space="preserve">For boards, the practical implication is that cyber regulation should be treated as a portfolio of related obligations rather than as a single compliance program. A mature institution will map requirements by regulator, entity, function, and control family, then design one internal control framework that can satisfy multiple regimes without duplicating effort. The institutions that do this well tend to simplify governance, align risk taxonomies, and report cyber risk through enterprise risk committees rather than through isolated technology forums. The institutions that do it poorly often end up with fragmented controls, duplicated evidence requests, and shallow accountability. [Analyst Perspective]</w:t>
      </w:r>
    </w:p>
    <w:bookmarkEnd w:id="17"/>
    <w:bookmarkStart w:id="18" w:name="X7ce10536b250bcdaef9902e762c60843144fd59"/>
    <w:p>
      <w:pPr>
        <w:pStyle w:val="Heading3"/>
      </w:pPr>
      <w:r>
        <w:t xml:space="preserve">4.2 Incident reporting, logging, and evidence preservation are the hardest rules to execute consistently</w:t>
      </w:r>
    </w:p>
    <w:p>
      <w:pPr>
        <w:pStyle w:val="FirstParagraph"/>
      </w:pPr>
      <w:r>
        <w:t xml:space="preserve">The hardest part of India’s cyber-regulatory regime is not writing policies; it is executing incident response under time pressure. Regulatory direction across the system implies that institutions must know when an event becomes reportable, who classifies severity, what evidence must be preserved, how quickly containment can occur, and how cross-functional escalation works. This is difficult because cyber incidents are rarely clean. A compromise may begin as a phishing event, move into credential abuse, escalate into data exfiltration, and then affect availability or fraud. The institution must therefore combine technical detection with regulatory judgment. [Analyst Perspective]</w:t>
      </w:r>
    </w:p>
    <w:p>
      <w:pPr>
        <w:pStyle w:val="BodyText"/>
      </w:pPr>
      <w:r>
        <w:t xml:space="preserve">Log retention and time synchronization are often treated as back-office issues, but they are foundational to both investigation and compliance. Without trustworthy logs, the institution cannot reconstruct an event, validate containment, or demonstrate due diligence. Without synchronized time sources, cross-system correlation becomes unreliable. Without evidence preservation, post-incident review and external forensic work become weaker. The compliance burden is therefore not just the direct cost of storage or tooling; it is the cost of operating a disciplined evidence chain. Institutions that underinvest here usually discover the problem after an incident, when gaps in logs or unclear severity criteria make reporting harder than it should have been. [Analyst Perspective]</w:t>
      </w:r>
    </w:p>
    <w:p>
      <w:pPr>
        <w:pStyle w:val="BodyText"/>
      </w:pPr>
      <w:r>
        <w:t xml:space="preserve">Incident reporting also exposes organizational silos. A cyber event can touch security operations, IT, fraud, compliance, legal, communications, business continuity, customer service, and sometimes external partners. If those functions do not have a shared playbook, response time suffers. Regulators tend to care less about whether every event is stopped instantly and more about whether the institution can identify, contain, report, and recover with discipline. That means incident readiness is as much a management capability as a technical one. The institutions most likely to perform well are those that run live exercises, assign clear severity thresholds, and test executive decision-making under simulated stress. [Analyst Perspective]</w:t>
      </w:r>
    </w:p>
    <w:p>
      <w:pPr>
        <w:pStyle w:val="BodyText"/>
      </w:pPr>
      <w:r>
        <w:t xml:space="preserve">The reporting burden is especially acute for financial institutions that operate through vendors or shared service models. In those cases, the regulated entity may not control every system involved in the incident, but it still owns the obligation to respond. That asymmetry creates a governance problem: the institution needs contractual rights, technical visibility, and operational escalation paths that extend into its ecosystem. If those rights are missing, the organization can still be supervised as if it were fully responsible. This is why incident reporting, logging, and evidence preservation have become one of the central stress tests of cyber maturity. [Analyst Perspective]</w:t>
      </w:r>
    </w:p>
    <w:bookmarkEnd w:id="18"/>
    <w:bookmarkStart w:id="19" w:name="X29ca73a442a1ad45c4051c265c300ab1256ac5e"/>
    <w:p>
      <w:pPr>
        <w:pStyle w:val="Heading3"/>
      </w:pPr>
      <w:r>
        <w:t xml:space="preserve">4.3 Third-party, cloud, and fintech dependencies have become a first-order regulatory concern</w:t>
      </w:r>
    </w:p>
    <w:p>
      <w:pPr>
        <w:pStyle w:val="FirstParagraph"/>
      </w:pPr>
      <w:r>
        <w:t xml:space="preserve">The rise of third-party dependence has changed the shape of cyber regulation in financial services. In a digital-first environment, banks, brokers, insurers, and asset managers increasingly rely on cloud providers, authentication services, managed security firms, fintech partners, data processors, and outsourced operations. That dependency creates scale and agility, but it also multiplies attack paths and complicates accountability. A regulated institution can no longer assume that security is determined only by its own internal perimeter. Its real security posture depends on the weakest critical dependency in its partner chain. [Analyst Perspective]</w:t>
      </w:r>
    </w:p>
    <w:p>
      <w:pPr>
        <w:pStyle w:val="BodyText"/>
      </w:pPr>
      <w:r>
        <w:t xml:space="preserve">This shifts cyber regulation from a firm-level to an ecosystem-level challenge. Regulators increasingly expect entities to perform due diligence on vendors, define minimum security and reporting obligations in contracts, monitor vendor performance, and understand where concentration risk exists. This is especially important when multiple regulated entities use the same technology stack or service provider. A widely shared supplier can create systemic exposure if an outage, breach, or misconfiguration affects many institutions at once. The strategic issue is not merely supply-chain risk in the abstract; it is the concentration of operational trust in a small number of providers. [Analyst Perspective]</w:t>
      </w:r>
    </w:p>
    <w:p>
      <w:pPr>
        <w:pStyle w:val="BodyText"/>
      </w:pPr>
      <w:r>
        <w:t xml:space="preserve">Cloud adoption intensifies this issue because cloud platforms offer resilience and scalability but also require disciplined identity management, configuration control, segmentation, and continuous monitoring. A poor cloud implementation can convert an efficiency project into a security problem. The same is true for fintech partnerships and API ecosystems. Fast integration improves customer experience, but it also requires clear authentication, data-minimization, exception handling, and auditability. From a regulatory perspective, the firm must be able to explain not only what the vendor does but why the control environment remains defensible when the vendor fails or changes behavior. [Analyst Perspective]</w:t>
      </w:r>
    </w:p>
    <w:p>
      <w:pPr>
        <w:pStyle w:val="BodyText"/>
      </w:pPr>
      <w:r>
        <w:t xml:space="preserve">In practical terms, this means vendor governance is no longer an auxiliary procurement issue. It is a core cyber-regulatory control. Institutions need inventory, tiering, access review, exit planning, cyber clauses, and testing of outsourced dependencies. The most resilient firms will treat vendors as extensions of their own control perimeter and will test those relationships through tabletop exercises and independent assurance. The least resilient firms will continue to rely on annual questionnaire-based due diligence, which is increasingly insufficient for the level of dependence now common in financial services. [Analyst Perspective]</w:t>
      </w:r>
    </w:p>
    <w:bookmarkEnd w:id="19"/>
    <w:bookmarkStart w:id="20" w:name="X5d7afb88dbfe1caab5749fa976fae215a69d854"/>
    <w:p>
      <w:pPr>
        <w:pStyle w:val="Heading3"/>
      </w:pPr>
      <w:r>
        <w:t xml:space="preserve">4.4 Board accountability is replacing checkbox compliance as the real supervisory benchmark</w:t>
      </w:r>
    </w:p>
    <w:p>
      <w:pPr>
        <w:pStyle w:val="FirstParagraph"/>
      </w:pPr>
      <w:r>
        <w:t xml:space="preserve">The deepest shift in India’s cyber-regulatory landscape is the move from checkbox compliance to board accountability. In earlier phases, firms could often demonstrate adequacy by producing policies, audit reports, and control attestations. That is no longer enough. Regulators now expect cyber security to be governed as an enterprise risk with clear ownership, regular reporting, and evidence that senior management understands both the threat environment and the operational consequences of failure. The board is increasingly expected to approve policy, review metrics, question exceptions, and ensure that remediation is funded and tracked. [Analyst Perspective]</w:t>
      </w:r>
    </w:p>
    <w:p>
      <w:pPr>
        <w:pStyle w:val="BodyText"/>
      </w:pPr>
      <w:r>
        <w:t xml:space="preserve">This changes how cyber programs are built. A policy written by IT and filed with compliance is not enough if the board cannot see risk trends, unresolved vulnerabilities, or incident performance. Similarly, an annual cyber audit is not enough if the institution lacks continuous control testing or a structured way to monitor whether critical systems remain protected. The direction of travel is toward measurable resilience, meaning that management must be able to show test results, recoverability evidence, awareness metrics, and progress on remediation rather than just static control descriptions. [Analyst Perspective]</w:t>
      </w:r>
    </w:p>
    <w:p>
      <w:pPr>
        <w:pStyle w:val="BodyText"/>
      </w:pPr>
      <w:r>
        <w:t xml:space="preserve">Board accountability also matters because cyber risk is tightly linked to strategic decisions. Digital growth, open APIs, third-party outsourcing, AI deployment, and cloud migration all expand the attack surface. Each of those choices has business value, but each also changes the security profile of the institution. If the board does not understand those trade-offs, it may approve growth trajectories that are inconsistent with the control environment. That is why cyber oversight belongs in the same conversation as capital, liquidity, conduct, and operational resilience. The institutions that integrate those topics will be better positioned to absorb regulatory scrutiny and market shocks. [Analyst Perspective]</w:t>
      </w:r>
    </w:p>
    <w:p>
      <w:pPr>
        <w:pStyle w:val="BodyText"/>
      </w:pPr>
      <w:r>
        <w:t xml:space="preserve">The regulatory end-state is likely to be a smaller number of well-understood control outcomes, verified more frequently and with stronger evidence. That means fewer excuses, more measurement, and tighter accountability for remediation. Boards that respond early can turn cyber regulation into a discipline that supports trust and growth. Boards that delay are likely to face recurring audit findings, incident anxiety, and avoidable supervisory friction. [Analyst Perspective]</w:t>
      </w:r>
    </w:p>
    <w:bookmarkEnd w:id="20"/>
    <w:bookmarkEnd w:id="21"/>
    <w:bookmarkStart w:id="22" w:name="data-evidence-summary"/>
    <w:p>
      <w:pPr>
        <w:pStyle w:val="Heading2"/>
      </w:pPr>
      <w:r>
        <w:t xml:space="preserve">5. Data &amp; Evidence Summary</w:t>
      </w:r>
    </w:p>
    <w:p>
      <w:pPr>
        <w:pStyle w:val="FirstParagraph"/>
      </w:pPr>
      <w:r>
        <w:t xml:space="preserve">The table below translates the regulatory landscape into a compact evidence map. Because live source retrieval was unavailable, the entries represent analyst synthesis of the core obligations that shape cybersecurity regulation in Indian financial services. Every item should be verified against the latest primary regulator publications before use in policy, audit, or legal work. [Analyst Perspective]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Metric</w:t>
            </w:r>
          </w:p>
        </w:tc>
        <w:tc>
          <w:tcPr/>
          <w:p>
            <w:pPr>
              <w:pStyle w:val="Compact"/>
            </w:pPr>
            <w:r>
              <w:t xml:space="preserve">Value</w:t>
            </w:r>
          </w:p>
        </w:tc>
        <w:tc>
          <w:tcPr/>
          <w:p>
            <w:pPr>
              <w:pStyle w:val="Compact"/>
            </w:pPr>
            <w:r>
              <w:t xml:space="preserve">Source Organisation</w:t>
            </w:r>
          </w:p>
        </w:tc>
        <w:tc>
          <w:tcPr/>
          <w:p>
            <w:pPr>
              <w:pStyle w:val="Compact"/>
            </w:pPr>
            <w:r>
              <w:t xml:space="preserve">Data Date</w:t>
            </w:r>
          </w:p>
        </w:tc>
        <w:tc>
          <w:tcPr/>
          <w:p>
            <w:pPr>
              <w:pStyle w:val="Compact"/>
            </w:pPr>
            <w:r>
              <w:t xml:space="preserve">Tier</w:t>
            </w:r>
          </w:p>
        </w:tc>
        <w:tc>
          <w:tcPr/>
          <w:p>
            <w:pPr>
              <w:pStyle w:val="Compact"/>
            </w:pPr>
            <w:r>
              <w:t xml:space="preserve">Verified</w:t>
            </w:r>
          </w:p>
        </w:tc>
      </w:tr>
      <w:tr>
        <w:tc>
          <w:tcPr/>
          <w:p>
            <w:pPr>
              <w:pStyle w:val="Compact"/>
            </w:pPr>
            <w:r>
              <w:t xml:space="preserve">Board-approved cyber policy</w:t>
            </w:r>
          </w:p>
        </w:tc>
        <w:tc>
          <w:tcPr/>
          <w:p>
            <w:pPr>
              <w:pStyle w:val="Compact"/>
            </w:pPr>
            <w:r>
              <w:t xml:space="preserve">Required for regulated financial institutions under sectoral cyber governance expectations</w:t>
            </w:r>
          </w:p>
        </w:tc>
        <w:tc>
          <w:tcPr/>
          <w:p>
            <w:pPr>
              <w:pStyle w:val="Compact"/>
            </w:pPr>
            <w:r>
              <w:t xml:space="preserve">RBI</w:t>
            </w:r>
          </w:p>
        </w:tc>
        <w:tc>
          <w:tcPr/>
          <w:p>
            <w:pPr>
              <w:pStyle w:val="Compact"/>
            </w:pPr>
            <w:r>
              <w:t xml:space="preserve">2016 onward</w:t>
            </w:r>
          </w:p>
        </w:tc>
        <w:tc>
          <w:tcPr/>
          <w:p>
            <w:pPr>
              <w:pStyle w:val="Compact"/>
            </w:pPr>
            <w:r>
              <w:t xml:space="preserve">1</w:t>
            </w:r>
          </w:p>
        </w:tc>
        <w:tc>
          <w:tcPr/>
          <w:p>
            <w:pPr>
              <w:pStyle w:val="Compact"/>
            </w:pPr>
            <w:r>
              <w:t xml:space="preserve">N</w:t>
            </w:r>
          </w:p>
        </w:tc>
      </w:tr>
      <w:tr>
        <w:tc>
          <w:tcPr/>
          <w:p>
            <w:pPr>
              <w:pStyle w:val="Compact"/>
            </w:pPr>
            <w:r>
              <w:t xml:space="preserve">Incident reporting window</w:t>
            </w:r>
          </w:p>
        </w:tc>
        <w:tc>
          <w:tcPr/>
          <w:p>
            <w:pPr>
              <w:pStyle w:val="Compact"/>
            </w:pPr>
            <w:r>
              <w:t xml:space="preserve">Material cyber incidents must be escalated rapidly, with CERT-In-style reporting obligations commonly treated as a 6-hour expectation</w:t>
            </w:r>
          </w:p>
        </w:tc>
        <w:tc>
          <w:tcPr/>
          <w:p>
            <w:pPr>
              <w:pStyle w:val="Compact"/>
            </w:pPr>
            <w:r>
              <w:t xml:space="preserve">CERT-In</w:t>
            </w:r>
          </w:p>
        </w:tc>
        <w:tc>
          <w:tcPr/>
          <w:p>
            <w:pPr>
              <w:pStyle w:val="Compact"/>
            </w:pPr>
            <w:r>
              <w:t xml:space="preserve">2022</w:t>
            </w:r>
          </w:p>
        </w:tc>
        <w:tc>
          <w:tcPr/>
          <w:p>
            <w:pPr>
              <w:pStyle w:val="Compact"/>
            </w:pPr>
            <w:r>
              <w:t xml:space="preserve">1</w:t>
            </w:r>
          </w:p>
        </w:tc>
        <w:tc>
          <w:tcPr/>
          <w:p>
            <w:pPr>
              <w:pStyle w:val="Compact"/>
            </w:pPr>
            <w:r>
              <w:t xml:space="preserve">N</w:t>
            </w:r>
          </w:p>
        </w:tc>
      </w:tr>
      <w:tr>
        <w:tc>
          <w:tcPr/>
          <w:p>
            <w:pPr>
              <w:pStyle w:val="Compact"/>
            </w:pPr>
            <w:r>
              <w:t xml:space="preserve">Log retention</w:t>
            </w:r>
          </w:p>
        </w:tc>
        <w:tc>
          <w:tcPr/>
          <w:p>
            <w:pPr>
              <w:pStyle w:val="Compact"/>
            </w:pPr>
            <w:r>
              <w:t xml:space="preserve">Security logs should be retained for meaningful forensic review, commonly 180 days or more under national directions</w:t>
            </w:r>
          </w:p>
        </w:tc>
        <w:tc>
          <w:tcPr/>
          <w:p>
            <w:pPr>
              <w:pStyle w:val="Compact"/>
            </w:pPr>
            <w:r>
              <w:t xml:space="preserve">CERT-In</w:t>
            </w:r>
          </w:p>
        </w:tc>
        <w:tc>
          <w:tcPr/>
          <w:p>
            <w:pPr>
              <w:pStyle w:val="Compact"/>
            </w:pPr>
            <w:r>
              <w:t xml:space="preserve">2022</w:t>
            </w:r>
          </w:p>
        </w:tc>
        <w:tc>
          <w:tcPr/>
          <w:p>
            <w:pPr>
              <w:pStyle w:val="Compact"/>
            </w:pPr>
            <w:r>
              <w:t xml:space="preserve">1</w:t>
            </w:r>
          </w:p>
        </w:tc>
        <w:tc>
          <w:tcPr/>
          <w:p>
            <w:pPr>
              <w:pStyle w:val="Compact"/>
            </w:pPr>
            <w:r>
              <w:t xml:space="preserve">N</w:t>
            </w:r>
          </w:p>
        </w:tc>
      </w:tr>
      <w:tr>
        <w:tc>
          <w:tcPr/>
          <w:p>
            <w:pPr>
              <w:pStyle w:val="Compact"/>
            </w:pPr>
            <w:r>
              <w:t xml:space="preserve">Time synchronization</w:t>
            </w:r>
          </w:p>
        </w:tc>
        <w:tc>
          <w:tcPr/>
          <w:p>
            <w:pPr>
              <w:pStyle w:val="Compact"/>
            </w:pPr>
            <w:r>
              <w:t xml:space="preserve">Critical systems should use synchronized clocks to support forensic reconstruction and auditability</w:t>
            </w:r>
          </w:p>
        </w:tc>
        <w:tc>
          <w:tcPr/>
          <w:p>
            <w:pPr>
              <w:pStyle w:val="Compact"/>
            </w:pPr>
            <w:r>
              <w:t xml:space="preserve">CERT-In</w:t>
            </w:r>
          </w:p>
        </w:tc>
        <w:tc>
          <w:tcPr/>
          <w:p>
            <w:pPr>
              <w:pStyle w:val="Compact"/>
            </w:pPr>
            <w:r>
              <w:t xml:space="preserve">2022</w:t>
            </w:r>
          </w:p>
        </w:tc>
        <w:tc>
          <w:tcPr/>
          <w:p>
            <w:pPr>
              <w:pStyle w:val="Compact"/>
            </w:pPr>
            <w:r>
              <w:t xml:space="preserve">1</w:t>
            </w:r>
          </w:p>
        </w:tc>
        <w:tc>
          <w:tcPr/>
          <w:p>
            <w:pPr>
              <w:pStyle w:val="Compact"/>
            </w:pPr>
            <w:r>
              <w:t xml:space="preserve">N</w:t>
            </w:r>
          </w:p>
        </w:tc>
      </w:tr>
      <w:tr>
        <w:tc>
          <w:tcPr/>
          <w:p>
            <w:pPr>
              <w:pStyle w:val="Compact"/>
            </w:pPr>
            <w:r>
              <w:t xml:space="preserve">Cyber resilience framework</w:t>
            </w:r>
          </w:p>
        </w:tc>
        <w:tc>
          <w:tcPr/>
          <w:p>
            <w:pPr>
              <w:pStyle w:val="Compact"/>
            </w:pPr>
            <w:r>
              <w:t xml:space="preserve">Securities-market entities are expected to maintain a formal cyber security and cyber resilience framework</w:t>
            </w:r>
          </w:p>
        </w:tc>
        <w:tc>
          <w:tcPr/>
          <w:p>
            <w:pPr>
              <w:pStyle w:val="Compact"/>
            </w:pPr>
            <w:r>
              <w:t xml:space="preserve">SEBI</w:t>
            </w:r>
          </w:p>
        </w:tc>
        <w:tc>
          <w:tcPr/>
          <w:p>
            <w:pPr>
              <w:pStyle w:val="Compact"/>
            </w:pPr>
            <w:r>
              <w:t xml:space="preserve">2024</w:t>
            </w:r>
          </w:p>
        </w:tc>
        <w:tc>
          <w:tcPr/>
          <w:p>
            <w:pPr>
              <w:pStyle w:val="Compact"/>
            </w:pPr>
            <w:r>
              <w:t xml:space="preserve">1</w:t>
            </w:r>
          </w:p>
        </w:tc>
        <w:tc>
          <w:tcPr/>
          <w:p>
            <w:pPr>
              <w:pStyle w:val="Compact"/>
            </w:pPr>
            <w:r>
              <w:t xml:space="preserve">N</w:t>
            </w:r>
          </w:p>
        </w:tc>
      </w:tr>
      <w:tr>
        <w:tc>
          <w:tcPr/>
          <w:p>
            <w:pPr>
              <w:pStyle w:val="Compact"/>
            </w:pPr>
            <w:r>
              <w:t xml:space="preserve">IFSC cyber framework</w:t>
            </w:r>
          </w:p>
        </w:tc>
        <w:tc>
          <w:tcPr/>
          <w:p>
            <w:pPr>
              <w:pStyle w:val="Compact"/>
            </w:pPr>
            <w:r>
              <w:t xml:space="preserve">Market intermediaries and infrastructure institutions in the IFSC are expected to follow a dedicated cyber resilience framework</w:t>
            </w:r>
          </w:p>
        </w:tc>
        <w:tc>
          <w:tcPr/>
          <w:p>
            <w:pPr>
              <w:pStyle w:val="Compact"/>
            </w:pPr>
            <w:r>
              <w:t xml:space="preserve">IFSCA</w:t>
            </w:r>
          </w:p>
        </w:tc>
        <w:tc>
          <w:tcPr/>
          <w:p>
            <w:pPr>
              <w:pStyle w:val="Compact"/>
            </w:pPr>
            <w:r>
              <w:t xml:space="preserve">2023-2024</w:t>
            </w:r>
          </w:p>
        </w:tc>
        <w:tc>
          <w:tcPr/>
          <w:p>
            <w:pPr>
              <w:pStyle w:val="Compact"/>
            </w:pPr>
            <w:r>
              <w:t xml:space="preserve">1</w:t>
            </w:r>
          </w:p>
        </w:tc>
        <w:tc>
          <w:tcPr/>
          <w:p>
            <w:pPr>
              <w:pStyle w:val="Compact"/>
            </w:pPr>
            <w:r>
              <w:t xml:space="preserve">N</w:t>
            </w:r>
          </w:p>
        </w:tc>
      </w:tr>
      <w:tr>
        <w:tc>
          <w:tcPr/>
          <w:p>
            <w:pPr>
              <w:pStyle w:val="Compact"/>
            </w:pPr>
            <w:r>
              <w:t xml:space="preserve">Outsourcing governance</w:t>
            </w:r>
          </w:p>
        </w:tc>
        <w:tc>
          <w:tcPr/>
          <w:p>
            <w:pPr>
              <w:pStyle w:val="Compact"/>
            </w:pPr>
            <w:r>
              <w:t xml:space="preserve">Third-party and outsourced technology services should be governed through risk-based due diligence and contractual controls</w:t>
            </w:r>
          </w:p>
        </w:tc>
        <w:tc>
          <w:tcPr/>
          <w:p>
            <w:pPr>
              <w:pStyle w:val="Compact"/>
            </w:pPr>
            <w:r>
              <w:t xml:space="preserve">RBI / SEBI / IFSCA</w:t>
            </w:r>
          </w:p>
        </w:tc>
        <w:tc>
          <w:tcPr/>
          <w:p>
            <w:pPr>
              <w:pStyle w:val="Compact"/>
            </w:pPr>
            <w:r>
              <w:t xml:space="preserve">2016-2024</w:t>
            </w:r>
          </w:p>
        </w:tc>
        <w:tc>
          <w:tcPr/>
          <w:p>
            <w:pPr>
              <w:pStyle w:val="Compact"/>
            </w:pPr>
            <w:r>
              <w:t xml:space="preserve">1</w:t>
            </w:r>
          </w:p>
        </w:tc>
        <w:tc>
          <w:tcPr/>
          <w:p>
            <w:pPr>
              <w:pStyle w:val="Compact"/>
            </w:pPr>
            <w:r>
              <w:t xml:space="preserve">N</w:t>
            </w:r>
          </w:p>
        </w:tc>
      </w:tr>
      <w:tr>
        <w:tc>
          <w:tcPr/>
          <w:p>
            <w:pPr>
              <w:pStyle w:val="Compact"/>
            </w:pPr>
            <w:r>
              <w:t xml:space="preserve">Board oversight and testing</w:t>
            </w:r>
          </w:p>
        </w:tc>
        <w:tc>
          <w:tcPr/>
          <w:p>
            <w:pPr>
              <w:pStyle w:val="Compact"/>
            </w:pPr>
            <w:r>
              <w:t xml:space="preserve">Governance requires periodic review, stress testing, and evidence of management accountability</w:t>
            </w:r>
          </w:p>
        </w:tc>
        <w:tc>
          <w:tcPr/>
          <w:p>
            <w:pPr>
              <w:pStyle w:val="Compact"/>
            </w:pPr>
            <w:r>
              <w:t xml:space="preserve">RBI / SEBI / IRDAI</w:t>
            </w:r>
          </w:p>
        </w:tc>
        <w:tc>
          <w:tcPr/>
          <w:p>
            <w:pPr>
              <w:pStyle w:val="Compact"/>
            </w:pPr>
            <w:r>
              <w:t xml:space="preserve">2016-2024</w:t>
            </w:r>
          </w:p>
        </w:tc>
        <w:tc>
          <w:tcPr/>
          <w:p>
            <w:pPr>
              <w:pStyle w:val="Compact"/>
            </w:pPr>
            <w:r>
              <w:t xml:space="preserve">1</w:t>
            </w:r>
          </w:p>
        </w:tc>
        <w:tc>
          <w:tcPr/>
          <w:p>
            <w:pPr>
              <w:pStyle w:val="Compact"/>
            </w:pPr>
            <w:r>
              <w:t xml:space="preserve">N</w:t>
            </w:r>
          </w:p>
        </w:tc>
      </w:tr>
    </w:tbl>
    <w:p>
      <w:pPr>
        <w:pStyle w:val="BodyText"/>
      </w:pPr>
      <w:r>
        <w:t xml:space="preserve">The evidence picture shows a regime that is more demanding on operational proof than on policy language. The gaps that matter most are not the absence of formal rules but the uneven ability of institutions to evidence compliance at speed, under stress, and across third-party dependencies. [Analyst Perspective]</w:t>
      </w:r>
    </w:p>
    <w:bookmarkEnd w:id="22"/>
    <w:bookmarkStart w:id="23" w:name="analysis"/>
    <w:p>
      <w:pPr>
        <w:pStyle w:val="Heading2"/>
      </w:pPr>
      <w:r>
        <w:t xml:space="preserve">6. Analysis</w:t>
      </w:r>
    </w:p>
    <w:p>
      <w:pPr>
        <w:pStyle w:val="FirstParagraph"/>
      </w:pPr>
      <w:r>
        <w:t xml:space="preserve">This section applies a PESTLE framework to the cybersecurity regulatory environment for Indian financial services. The framework is useful because the topic is not just a compliance question; it is shaped by policy, institutions, economics, social trust, technology dependencies, legal obligations, and operational realities. [Analyst Perspective]</w:t>
      </w:r>
    </w:p>
    <w:p>
      <w:pPr>
        <w:pStyle w:val="BodyText"/>
      </w:pPr>
      <w:r>
        <w:t xml:space="preserve">From a political and institutional perspective, the regime is robust because it is supported by multiple regulators with strong supervisory authority. That strength is also a weakness, because overlapping mandates can create fragmentation, duplicated reporting, and uncertainty about which requirement takes precedence for a given entity. In practice, institutions need a mapping layer that translates regulator-specific language into one internal control model. Without that mapping, compliance becomes reactive. [Analyst Perspective]</w:t>
      </w:r>
    </w:p>
    <w:p>
      <w:pPr>
        <w:pStyle w:val="BodyText"/>
      </w:pPr>
      <w:r>
        <w:t xml:space="preserve">From an economic perspective, cyber regulation raises operating cost in the short run because institutions must invest in logging, monitoring, testing, vendor governance, and incident response. However, those costs are partly offset by lower fraud losses, fewer outages, and higher customer trust. The economic logic therefore favors institutions that can turn compliance spend into resilience capability. Smaller entities may experience the burden more sharply because fixed costs are harder to absorb. This creates a competitive divergence: firms with stronger operating scale can spread cyber investment more efficiently, while weaker institutions may struggle to keep pace. [Analyst Perspective]</w:t>
      </w:r>
    </w:p>
    <w:p>
      <w:pPr>
        <w:pStyle w:val="BodyText"/>
      </w:pPr>
      <w:r>
        <w:t xml:space="preserve">From a social and trust perspective, cyber security is now a core part of customer confidence. A bank or insurer that cannot protect data, restore service, or communicate clearly after an incident loses trust quickly. In financial services, trust is not an abstract brand attribute; it is an operating asset. That makes incident transparency and service continuity strategically important. It also means that the reputational cost of a breach can be larger than the direct remediation cost. Institutions that underweight communication readiness therefore create avoidable social and commercial risk. [Analyst Perspective]</w:t>
      </w:r>
    </w:p>
    <w:p>
      <w:pPr>
        <w:pStyle w:val="BodyText"/>
      </w:pPr>
      <w:r>
        <w:t xml:space="preserve">From a technological perspective, the regime is being stretched by cloud, APIs, AI, mobile-first access, and identity-driven authentication. These technologies can improve resilience if deployed well, but they also add configuration complexity and reliance on telemetry. The more digital the stack, the more important continuous monitoring becomes. A static annual audit cannot provide sufficient assurance for a system where threat activity evolves daily. This is why the market is moving toward managed detection, automated response, and continuous control testing. [Analyst Perspective]</w:t>
      </w:r>
    </w:p>
    <w:p>
      <w:pPr>
        <w:pStyle w:val="BodyText"/>
      </w:pPr>
      <w:r>
        <w:t xml:space="preserve">From a legal perspective, the central issue is evidentiary. Regulations increasingly require the institution to demonstrate that controls exist, are used, and are effective. That changes the role of documentation. Documentation is no longer a record of intent; it is proof of performance. Institutions that cannot produce incident timelines, log records, decision trails, vendor assessments, and testing results will struggle to defend themselves even if they believe their controls are adequate. [Analyst Perspective]</w:t>
      </w:r>
    </w:p>
    <w:p>
      <w:pPr>
        <w:pStyle w:val="BodyText"/>
      </w:pPr>
      <w:r>
        <w:t xml:space="preserve">From an environmental perspective, the direct link is weaker, but the resilience concept still matters. Financial institutions need continuity under physical disruption, energy instability, and site unavailability. Cyber resilience programs increasingly overlap with broader business continuity planning, disaster recovery, and remote-operating capability. The institutions that integrate these domains are better prepared for compound shocks. [Analyst Perspective]</w:t>
      </w:r>
    </w:p>
    <w:p>
      <w:pPr>
        <w:pStyle w:val="BodyText"/>
      </w:pPr>
      <w:r>
        <w:t xml:space="preserve">The PESTLE assessment leads to a clear conclusion: cybersecurity regulation in Indian financial services is becoming more integrated and more demanding, but the hardest work lies inside the institution. The winners will not be the firms with the thickest policy binder; they will be the ones that can prove dependable execution, especially in incident response, vendor governance, and board oversight. That conclusion directly answers the research question because it shows that the regulatory environment is best understood as an operational discipline, not just a legal one. [Analyst Perspective]</w:t>
      </w:r>
    </w:p>
    <w:bookmarkEnd w:id="23"/>
    <w:bookmarkStart w:id="27" w:name="implications"/>
    <w:p>
      <w:pPr>
        <w:pStyle w:val="Heading2"/>
      </w:pPr>
      <w:r>
        <w:t xml:space="preserve">7. Implications</w:t>
      </w:r>
    </w:p>
    <w:bookmarkStart w:id="24" w:name="near-term-implications-012-months"/>
    <w:p>
      <w:pPr>
        <w:pStyle w:val="Heading3"/>
      </w:pPr>
      <w:r>
        <w:t xml:space="preserve">7.1 Near-Term Implications (0–12 months)</w:t>
      </w:r>
    </w:p>
    <w:p>
      <w:pPr>
        <w:pStyle w:val="FirstParagraph"/>
      </w:pPr>
      <w:r>
        <w:t xml:space="preserve">In the near term, institutions should expect supervisory attention to focus on incident readiness, third-party risk, and evidence of board oversight. The practical consequence is that firms will need to close gaps in logging, playbooks, escalation thresholds, and crisis communications. For many organizations, the immediate priority is not buying more tools but proving that existing tools are integrated into a coherent response process. The most common near-term failure mode is a control environment that looks adequate on paper but cannot move fast enough in a real event. [Analyst Perspective]</w:t>
      </w:r>
    </w:p>
    <w:p>
      <w:pPr>
        <w:pStyle w:val="BodyText"/>
      </w:pPr>
      <w:r>
        <w:t xml:space="preserve">The near-term operational task is therefore to rehearse the basics. That includes defining what counts as a reportable incident, establishing who has authority to contain it, ensuring that logs are retained in a usable format, and testing whether third parties can be mobilized during an event. Boards should also ask for a concise cyber risk dashboard that shows unresolved vulnerabilities, incidents, mean time to contain, recovery test outcomes, and vendor exceptions. Institutions that cannot produce those indicators should treat that as a warning sign. [Analyst Perspective]</w:t>
      </w:r>
    </w:p>
    <w:p>
      <w:pPr>
        <w:pStyle w:val="BodyText"/>
      </w:pPr>
      <w:r>
        <w:t xml:space="preserve">At the market level, institutions that are visibly better prepared will likely gain a trust advantage, especially in digital products where customers compare service continuity and response quality. Smaller firms may feel the burden more sharply because compliance uplift is resource-intensive. However, the near-term benefit of discipline is real: better incident handling reduces the probability that a relatively small event turns into a major operational or reputational loss. [Analyst Perspective]</w:t>
      </w:r>
    </w:p>
    <w:bookmarkEnd w:id="24"/>
    <w:bookmarkStart w:id="25" w:name="medium-term-implications-13-years"/>
    <w:p>
      <w:pPr>
        <w:pStyle w:val="Heading3"/>
      </w:pPr>
      <w:r>
        <w:t xml:space="preserve">7.2 Medium-Term Implications (1–3 years)</w:t>
      </w:r>
    </w:p>
    <w:p>
      <w:pPr>
        <w:pStyle w:val="FirstParagraph"/>
      </w:pPr>
      <w:r>
        <w:t xml:space="preserve">Over the medium term, cyber compliance is likely to become more continuous and more metrics-driven. The likely direction is toward deeper integration of cyber risk into enterprise risk management, internal audit, procurement, and business continuity. Institutions will need to demonstrate not only that they have policies but that they can measure resilience outcomes. This will make control testing more important than periodic certification. [Analyst Perspective]</w:t>
      </w:r>
    </w:p>
    <w:p>
      <w:pPr>
        <w:pStyle w:val="BodyText"/>
      </w:pPr>
      <w:r>
        <w:t xml:space="preserve">The structural change is that cyber oversight will increasingly influence business design. Firms will choose vendors, cloud architectures, authentication methods, and product models partly on the basis of control maintainability. That means cyber security will shape strategic decisions rather than merely react to them. Institutions that ignore this will face a growing gap between business ambition and control capability. [Analyst Perspective]</w:t>
      </w:r>
    </w:p>
    <w:p>
      <w:pPr>
        <w:pStyle w:val="BodyText"/>
      </w:pPr>
      <w:r>
        <w:t xml:space="preserve">Medium-term regulatory pressure is also likely to expose entity-level inconsistencies inside financial conglomerates. A group may have a strong bank but weaker non-bank or market-facing arms. Over time, supervisors are likely to expect more consistent standards across entities and more formal mapping of cyber risk across group structures. This will favor firms that build an enterprise cyber framework capable of spanning multiple regulators and operating models. [Analyst Perspective]</w:t>
      </w:r>
    </w:p>
    <w:bookmarkEnd w:id="25"/>
    <w:bookmarkStart w:id="26" w:name="long-term-implications-3-years"/>
    <w:p>
      <w:pPr>
        <w:pStyle w:val="Heading3"/>
      </w:pPr>
      <w:r>
        <w:t xml:space="preserve">7.3 Long-Term Implications (3+ years)</w:t>
      </w:r>
    </w:p>
    <w:p>
      <w:pPr>
        <w:pStyle w:val="FirstParagraph"/>
      </w:pPr>
      <w:r>
        <w:t xml:space="preserve">In the long term, the regime is likely to evolve toward resilience assurance as a normal part of financial supervision. That means regular proof of recovery capability, sharper attention to systemic third-party concentration, and closer scrutiny of cyber controls embedded in digital ecosystems. The strongest firms will likely be those that can operationalize resilience as a continuous discipline rather than as a series of annual projects. [Analyst Perspective]</w:t>
      </w:r>
    </w:p>
    <w:p>
      <w:pPr>
        <w:pStyle w:val="BodyText"/>
      </w:pPr>
      <w:r>
        <w:t xml:space="preserve">The broader market implication is that cyber maturity may become a differentiator in access to partnerships, customer confidence, and supervisory tolerance for growth. Institutions with weak control environments may find it harder to scale digital products, outsource critical functions, or pursue ecosystem partnerships. Conversely, institutions that can demonstrate strong cyber governance may be better positioned to expand into new digital products and cross-border or IFSC-linked services. [Analyst Perspective]</w:t>
      </w:r>
    </w:p>
    <w:p>
      <w:pPr>
        <w:pStyle w:val="BodyText"/>
      </w:pPr>
      <w:r>
        <w:t xml:space="preserve">Long-term assumptions matter. This trajectory depends on regulators maintaining pressure for resilience, on digital interdependence continuing to grow, and on threat actors remaining active and adaptive. If those assumptions hold, cyber security will increasingly resemble a core utility of financial operations rather than a specialized support function. That is the central strategic implication for decision-makers: cyber regulation is not a temporary burden; it is becoming part of the operating design of Indian financial services. [Analyst Perspective]</w:t>
      </w:r>
    </w:p>
    <w:bookmarkEnd w:id="26"/>
    <w:bookmarkEnd w:id="27"/>
    <w:bookmarkStart w:id="28" w:name="recommendations"/>
    <w:p>
      <w:pPr>
        <w:pStyle w:val="Heading2"/>
      </w:pPr>
      <w:r>
        <w:t xml:space="preserve">8. Recommendations</w:t>
      </w:r>
    </w:p>
    <w:p>
      <w:pPr>
        <w:pStyle w:val="FirstParagraph"/>
      </w:pPr>
      <w:r>
        <w:t xml:space="preserve">The recommendations below are designed to be specific, measurable, and achievable within the regulatory reality described above. They prioritize governance, response readiness, and ecosystem control because those are the areas where institutions most often fail under stress. [Analyst Perspective]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Recommendation</w:t>
            </w:r>
          </w:p>
        </w:tc>
        <w:tc>
          <w:tcPr/>
          <w:p>
            <w:pPr>
              <w:pStyle w:val="Compact"/>
            </w:pPr>
            <w:r>
              <w:t xml:space="preserve">Owner</w:t>
            </w:r>
          </w:p>
        </w:tc>
        <w:tc>
          <w:tcPr/>
          <w:p>
            <w:pPr>
              <w:pStyle w:val="Compact"/>
            </w:pPr>
            <w:r>
              <w:t xml:space="preserve">Timeline</w:t>
            </w:r>
          </w:p>
        </w:tc>
        <w:tc>
          <w:tcPr/>
          <w:p>
            <w:pPr>
              <w:pStyle w:val="Compact"/>
            </w:pPr>
            <w:r>
              <w:t xml:space="preserve">Success Metric</w:t>
            </w:r>
          </w:p>
        </w:tc>
        <w:tc>
          <w:tcPr/>
          <w:p>
            <w:pPr>
              <w:pStyle w:val="Compact"/>
            </w:pPr>
            <w:r>
              <w:t xml:space="preserve">Priority</w:t>
            </w:r>
          </w:p>
        </w:tc>
      </w:tr>
      <w:tr>
        <w:tc>
          <w:tcPr/>
          <w:p>
            <w:pPr>
              <w:pStyle w:val="Compact"/>
            </w:pPr>
            <w:r>
              <w:t xml:space="preserve">R1</w:t>
            </w:r>
          </w:p>
        </w:tc>
        <w:tc>
          <w:tcPr/>
          <w:p>
            <w:pPr>
              <w:pStyle w:val="Compact"/>
            </w:pPr>
            <w:r>
              <w:t xml:space="preserve">Approve a single enterprise cyber risk policy that maps all regulated entities and control obligations into one board-reviewed framework</w:t>
            </w:r>
          </w:p>
        </w:tc>
        <w:tc>
          <w:tcPr/>
          <w:p>
            <w:pPr>
              <w:pStyle w:val="Compact"/>
            </w:pPr>
            <w:r>
              <w:t xml:space="preserve">Board / CRO / CISO</w:t>
            </w:r>
          </w:p>
        </w:tc>
        <w:tc>
          <w:tcPr/>
          <w:p>
            <w:pPr>
              <w:pStyle w:val="Compact"/>
            </w:pPr>
            <w:r>
              <w:t xml:space="preserve">90 days</w:t>
            </w:r>
          </w:p>
        </w:tc>
        <w:tc>
          <w:tcPr/>
          <w:p>
            <w:pPr>
              <w:pStyle w:val="Compact"/>
            </w:pPr>
            <w:r>
              <w:t xml:space="preserve">Policy approved and control map completed for 100% of regulated entities</w:t>
            </w:r>
          </w:p>
        </w:tc>
        <w:tc>
          <w:tcPr/>
          <w:p>
            <w:pPr>
              <w:pStyle w:val="Compact"/>
            </w:pPr>
            <w:r>
              <w:t xml:space="preserve">High</w:t>
            </w:r>
          </w:p>
        </w:tc>
      </w:tr>
      <w:tr>
        <w:tc>
          <w:tcPr/>
          <w:p>
            <w:pPr>
              <w:pStyle w:val="Compact"/>
            </w:pPr>
            <w:r>
              <w:t xml:space="preserve">R2</w:t>
            </w:r>
          </w:p>
        </w:tc>
        <w:tc>
          <w:tcPr/>
          <w:p>
            <w:pPr>
              <w:pStyle w:val="Compact"/>
            </w:pPr>
            <w:r>
              <w:t xml:space="preserve">Run a live incident-response exercise that includes legal, compliance, communications, vendor, and recovery teams</w:t>
            </w:r>
          </w:p>
        </w:tc>
        <w:tc>
          <w:tcPr/>
          <w:p>
            <w:pPr>
              <w:pStyle w:val="Compact"/>
            </w:pPr>
            <w:r>
              <w:t xml:space="preserve">CISO / COO</w:t>
            </w:r>
          </w:p>
        </w:tc>
        <w:tc>
          <w:tcPr/>
          <w:p>
            <w:pPr>
              <w:pStyle w:val="Compact"/>
            </w:pPr>
            <w:r>
              <w:t xml:space="preserve">120 days</w:t>
            </w:r>
          </w:p>
        </w:tc>
        <w:tc>
          <w:tcPr/>
          <w:p>
            <w:pPr>
              <w:pStyle w:val="Compact"/>
            </w:pPr>
            <w:r>
              <w:t xml:space="preserve">Tabletop completed; remediation actions closed within 60 days</w:t>
            </w:r>
          </w:p>
        </w:tc>
        <w:tc>
          <w:tcPr/>
          <w:p>
            <w:pPr>
              <w:pStyle w:val="Compact"/>
            </w:pPr>
            <w:r>
              <w:t xml:space="preserve">High</w:t>
            </w:r>
          </w:p>
        </w:tc>
      </w:tr>
      <w:tr>
        <w:tc>
          <w:tcPr/>
          <w:p>
            <w:pPr>
              <w:pStyle w:val="Compact"/>
            </w:pPr>
            <w:r>
              <w:t xml:space="preserve">R3</w:t>
            </w:r>
          </w:p>
        </w:tc>
        <w:tc>
          <w:tcPr/>
          <w:p>
            <w:pPr>
              <w:pStyle w:val="Compact"/>
            </w:pPr>
            <w:r>
              <w:t xml:space="preserve">Create a vendor tiering model for all critical technology and data processors, with annual review and exit plans</w:t>
            </w:r>
          </w:p>
        </w:tc>
        <w:tc>
          <w:tcPr/>
          <w:p>
            <w:pPr>
              <w:pStyle w:val="Compact"/>
            </w:pPr>
            <w:r>
              <w:t xml:space="preserve">Procurement / CRO</w:t>
            </w:r>
          </w:p>
        </w:tc>
        <w:tc>
          <w:tcPr/>
          <w:p>
            <w:pPr>
              <w:pStyle w:val="Compact"/>
            </w:pPr>
            <w:r>
              <w:t xml:space="preserve">180 days</w:t>
            </w:r>
          </w:p>
        </w:tc>
        <w:tc>
          <w:tcPr/>
          <w:p>
            <w:pPr>
              <w:pStyle w:val="Compact"/>
            </w:pPr>
            <w:r>
              <w:t xml:space="preserve">100% of critical vendors tiered and contractually reviewed</w:t>
            </w:r>
          </w:p>
        </w:tc>
        <w:tc>
          <w:tcPr/>
          <w:p>
            <w:pPr>
              <w:pStyle w:val="Compact"/>
            </w:pPr>
            <w:r>
              <w:t xml:space="preserve">High</w:t>
            </w:r>
          </w:p>
        </w:tc>
      </w:tr>
      <w:tr>
        <w:tc>
          <w:tcPr/>
          <w:p>
            <w:pPr>
              <w:pStyle w:val="Compact"/>
            </w:pPr>
            <w:r>
              <w:t xml:space="preserve">R4</w:t>
            </w:r>
          </w:p>
        </w:tc>
        <w:tc>
          <w:tcPr/>
          <w:p>
            <w:pPr>
              <w:pStyle w:val="Compact"/>
            </w:pPr>
            <w:r>
              <w:t xml:space="preserve">Implement a board cyber dashboard with quarterly reporting on incidents, containment times, patching, and unresolved exceptions</w:t>
            </w:r>
          </w:p>
        </w:tc>
        <w:tc>
          <w:tcPr/>
          <w:p>
            <w:pPr>
              <w:pStyle w:val="Compact"/>
            </w:pPr>
            <w:r>
              <w:t xml:space="preserve">CRO / CISO / Company Secretary</w:t>
            </w:r>
          </w:p>
        </w:tc>
        <w:tc>
          <w:tcPr/>
          <w:p>
            <w:pPr>
              <w:pStyle w:val="Compact"/>
            </w:pPr>
            <w:r>
              <w:t xml:space="preserve">1 quarter</w:t>
            </w:r>
          </w:p>
        </w:tc>
        <w:tc>
          <w:tcPr/>
          <w:p>
            <w:pPr>
              <w:pStyle w:val="Compact"/>
            </w:pPr>
            <w:r>
              <w:t xml:space="preserve">Dashboard tabled at every board cycle with trend data</w:t>
            </w:r>
          </w:p>
        </w:tc>
        <w:tc>
          <w:tcPr/>
          <w:p>
            <w:pPr>
              <w:pStyle w:val="Compact"/>
            </w:pPr>
            <w:r>
              <w:t xml:space="preserve">High</w:t>
            </w:r>
          </w:p>
        </w:tc>
      </w:tr>
      <w:tr>
        <w:tc>
          <w:tcPr/>
          <w:p>
            <w:pPr>
              <w:pStyle w:val="Compact"/>
            </w:pPr>
            <w:r>
              <w:t xml:space="preserve">R5</w:t>
            </w:r>
          </w:p>
        </w:tc>
        <w:tc>
          <w:tcPr/>
          <w:p>
            <w:pPr>
              <w:pStyle w:val="Compact"/>
            </w:pPr>
            <w:r>
              <w:t xml:space="preserve">Establish continuous log-retention and time-synchronization controls across critical systems and prove them in audit evidence</w:t>
            </w:r>
          </w:p>
        </w:tc>
        <w:tc>
          <w:tcPr/>
          <w:p>
            <w:pPr>
              <w:pStyle w:val="Compact"/>
            </w:pPr>
            <w:r>
              <w:t xml:space="preserve">CIO / Security Operations</w:t>
            </w:r>
          </w:p>
        </w:tc>
        <w:tc>
          <w:tcPr/>
          <w:p>
            <w:pPr>
              <w:pStyle w:val="Compact"/>
            </w:pPr>
            <w:r>
              <w:t xml:space="preserve">6 months</w:t>
            </w:r>
          </w:p>
        </w:tc>
        <w:tc>
          <w:tcPr/>
          <w:p>
            <w:pPr>
              <w:pStyle w:val="Compact"/>
            </w:pPr>
            <w:r>
              <w:t xml:space="preserve">100% critical systems covered; audit evidence produced on demand</w:t>
            </w:r>
          </w:p>
        </w:tc>
        <w:tc>
          <w:tcPr/>
          <w:p>
            <w:pPr>
              <w:pStyle w:val="Compact"/>
            </w:pPr>
            <w:r>
              <w:t xml:space="preserve">Medium</w:t>
            </w:r>
          </w:p>
        </w:tc>
      </w:tr>
      <w:tr>
        <w:tc>
          <w:tcPr/>
          <w:p>
            <w:pPr>
              <w:pStyle w:val="Compact"/>
            </w:pPr>
            <w:r>
              <w:t xml:space="preserve">R6</w:t>
            </w:r>
          </w:p>
        </w:tc>
        <w:tc>
          <w:tcPr/>
          <w:p>
            <w:pPr>
              <w:pStyle w:val="Compact"/>
            </w:pPr>
            <w:r>
              <w:t xml:space="preserve">Conduct an independent resilience review of cloud and API dependencies, including failover and recovery testing</w:t>
            </w:r>
          </w:p>
        </w:tc>
        <w:tc>
          <w:tcPr/>
          <w:p>
            <w:pPr>
              <w:pStyle w:val="Compact"/>
            </w:pPr>
            <w:r>
              <w:t xml:space="preserve">CISO / Architecture Lead</w:t>
            </w:r>
          </w:p>
        </w:tc>
        <w:tc>
          <w:tcPr/>
          <w:p>
            <w:pPr>
              <w:pStyle w:val="Compact"/>
            </w:pPr>
            <w:r>
              <w:t xml:space="preserve">9 months</w:t>
            </w:r>
          </w:p>
        </w:tc>
        <w:tc>
          <w:tcPr/>
          <w:p>
            <w:pPr>
              <w:pStyle w:val="Compact"/>
            </w:pPr>
            <w:r>
              <w:t xml:space="preserve">Review completed and critical findings remediated</w:t>
            </w:r>
          </w:p>
        </w:tc>
        <w:tc>
          <w:tcPr/>
          <w:p>
            <w:pPr>
              <w:pStyle w:val="Compact"/>
            </w:pPr>
            <w:r>
              <w:t xml:space="preserve">Medium</w:t>
            </w:r>
          </w:p>
        </w:tc>
      </w:tr>
    </w:tbl>
    <w:p>
      <w:pPr>
        <w:pStyle w:val="BodyText"/>
      </w:pPr>
      <w:r>
        <w:t xml:space="preserve">The priority order reflects dependency logic. Governance and incident readiness come first because they determine whether the institution can make decisions under stress. Vendor governance follows because third-party risk often drives both cyber exposure and outage risk. Board reporting comes next because without visibility, remediation remains fragmented. Continuous logging and resilience testing are essential but depend on the governance model being in place. The final sequence recognizes that cyber maturity is cumulative: institutions should first ensure that responsibility, response, and visibility are working before expanding into deeper technical hardening. [Analyst Perspective]</w:t>
      </w:r>
    </w:p>
    <w:bookmarkEnd w:id="28"/>
    <w:bookmarkStart w:id="29" w:name="knowledge-gaps-limitations"/>
    <w:p>
      <w:pPr>
        <w:pStyle w:val="Heading2"/>
      </w:pPr>
      <w:r>
        <w:t xml:space="preserve">9. Knowledge Gaps &amp; Limitations</w:t>
      </w:r>
    </w:p>
    <w:p>
      <w:pPr>
        <w:pStyle w:val="FirstParagraph"/>
      </w:pPr>
      <w:r>
        <w:t xml:space="preserve">The biggest gap in this report is the lack of live verification against the latest primary sources. That means exact circular numbers, amendments, effective dates, and supervisory nuances may have changed. The absence of direct source retrieval also means that some sector-specific detail, especially for insurers, pension entities, and smaller categories of regulated firms, should be treated as directional rather than definitive. The confidence impact is material for compliance work and moderate for strategic planning. In other words, the report is strong enough to frame decisions, but not strong enough to replace formal legal or regulatory review. [Analyst Perspective]</w:t>
      </w:r>
    </w:p>
    <w:p>
      <w:pPr>
        <w:pStyle w:val="BodyText"/>
      </w:pPr>
      <w:r>
        <w:t xml:space="preserve">Another gap is that the report cannot quantify enforcement intensity, breach frequency, or compliance maturity by institution type. Without current data, it is not possible to say how many firms are fully aligned, where the biggest practical gaps are, or how supervisory actions differ by sector. The absence of such data means the conclusions about the relative maturity of the regime should be treated as qualitative rather than statistical. If better evidence were available, it would most likely sharpen the ranking of risks and reveal which obligations create the greatest operational burden. [Analyst Perspective]</w:t>
      </w:r>
    </w:p>
    <w:p>
      <w:pPr>
        <w:pStyle w:val="BodyText"/>
      </w:pPr>
      <w:r>
        <w:t xml:space="preserve">Sources that would ordinarily be sought but could not be retrieved in this environment include the latest RBI circulars on cyber security and IT governance, CERT-In directions and clarifications, SEBI’s cyber resilience framework for regulated entities, IFSCA guidance for market participants, IRDAI cyber-security directions, and PFRDA guidance. Those are the sources that would most directly resolve any uncertainty about exact requirements, reporting thresholds, and implementation deadlines. [Analyst Perspective]</w:t>
      </w:r>
    </w:p>
    <w:bookmarkEnd w:id="29"/>
    <w:bookmarkStart w:id="30" w:name="conclusion"/>
    <w:p>
      <w:pPr>
        <w:pStyle w:val="Heading2"/>
      </w:pPr>
      <w:r>
        <w:t xml:space="preserve">10. Conclusion</w:t>
      </w:r>
    </w:p>
    <w:p>
      <w:pPr>
        <w:pStyle w:val="FirstParagraph"/>
      </w:pPr>
      <w:r>
        <w:t xml:space="preserve">India’s cybersecurity regulation in financial services is already a substantive and increasingly demanding regime, but its central challenge is operational consistency rather than the absence of rules. The evidence-based synthesis in this report indicates that the direction of travel is toward board accountability, rapid incident reporting, third-party governance, and continuous resilience testing across banks, market entities, insurers, pension intermediaries, and IFSC firms. [Analyst Perspective]</w:t>
      </w:r>
    </w:p>
    <w:p>
      <w:pPr>
        <w:pStyle w:val="BodyText"/>
      </w:pPr>
      <w:r>
        <w:t xml:space="preserve">The key conclusion is that cyber security is now part of the operating model of Indian financial services, not an adjacent IT function. Institutions that treat the regime as a compliance checklist will probably remain exposed to supervisory friction and incident risk. Institutions that build enterprise governance, rehearse incidents, harden vendor controls, and report cyber risk through the board will be better positioned to preserve trust and sustain digital growth. [Analyst Perspective]</w:t>
      </w:r>
    </w:p>
    <w:p>
      <w:pPr>
        <w:pStyle w:val="BodyText"/>
      </w:pPr>
      <w:r>
        <w:t xml:space="preserve">For decision-makers, the practical message is simple: the next phase of cyber regulation will reward proof, not promises. The institutions that can show continuous control, disciplined response, and clear accountability will have the strongest chance of staying compliant and resilient as the sector becomes even more digital and interconnected. [Analyst Perspective]</w:t>
      </w:r>
    </w:p>
    <w:bookmarkEnd w:id="30"/>
    <w:bookmarkStart w:id="31" w:name="references"/>
    <w:p>
      <w:pPr>
        <w:pStyle w:val="Heading2"/>
      </w:pPr>
      <w:r>
        <w:t xml:space="preserve">11. References</w:t>
      </w:r>
    </w:p>
    <w:p>
      <w:pPr>
        <w:pStyle w:val="FirstParagraph"/>
      </w:pPr>
      <w:r>
        <w:t xml:space="preserve">Formal APA 7th references are not listed in this run because live source retrieval was unavailable in the environment and the report is intentionally limited to analyst synthesis. The material above should be re-validated against current primary documents from RBI, CERT-In, SEBI, IFSCA, IRDAI, and PFRDA before operational or legal use. [Analyst Perspective]</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Regulation in Indian Financial Services: A Regulatory and Operational Assessment</dc:title>
  <dc:creator>Research Agent v3.0</dc:creator>
  <cp:keywords/>
  <dcterms:created xsi:type="dcterms:W3CDTF">2026-07-25T19:28:39Z</dcterms:created>
  <dcterms:modified xsi:type="dcterms:W3CDTF">2026-07-25T19:28:39Z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26 July 2026</vt:lpwstr>
  </property>
</Properties>
</file>