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ODISHA RELIEF FOUNDATION</w:t>
      </w:r>
    </w:p>
    <w:p>
      <w:pPr>
        <w:jc w:val="center"/>
      </w:pPr>
      <w:r>
        <w:rPr>
          <w:b/>
          <w:color w:val="0F6E56"/>
          <w:sz w:val="24"/>
        </w:rPr>
        <w:t>Community Needs Assessment Report — Education Crisis in Flood-Affected Districts</w:t>
      </w:r>
    </w:p>
    <w:p>
      <w:pPr>
        <w:jc w:val="center"/>
      </w:pPr>
      <w:r>
        <w:rPr>
          <w:color w:val="888888"/>
          <w:sz w:val="18"/>
        </w:rPr>
        <w:t>Districts: Balasore, Bhadrak, Jajpur  |  Period: Feb 1 – Mar 10, 2026  |  Report ID: ORF-2026-EDU-031</w:t>
      </w:r>
    </w:p>
    <w:p/>
    <w:p>
      <w:pPr>
        <w:pStyle w:val="Heading1"/>
        <w:jc w:val="left"/>
      </w:pPr>
      <w:r>
        <w:rPr>
          <w:color w:val="0F6E56"/>
        </w:rPr>
        <w:t>1. Background and Context</w:t>
      </w:r>
    </w:p>
    <w:p>
      <w:pPr>
        <w:jc w:val="both"/>
      </w:pPr>
      <w:r>
        <w:rPr>
          <w:b w:val="0"/>
          <w:sz w:val="20"/>
        </w:rPr>
        <w:t>The cyclone and subsequent flooding in October 2025 severely disrupted the education system across coastal Odisha. This report presents findings from a structured community needs assessment conducted across 18 schools and 22 villages in three flood-affected districts. A team of 6 field volunteers collected data through structured interviews, focus group discussions with parents and teachers, and direct observation of school infrastructure.</w:t>
      </w:r>
    </w:p>
    <w:p>
      <w:pPr>
        <w:jc w:val="both"/>
      </w:pPr>
      <w:r>
        <w:rPr>
          <w:b w:val="0"/>
          <w:sz w:val="20"/>
        </w:rPr>
        <w:t>The assessment aimed to quantify the education gap created by the disaster, identify the most vulnerable student populations, and recommend targeted volunteer interventions to accelerate educational recovery.</w:t>
      </w:r>
    </w:p>
    <w:p/>
    <w:p>
      <w:pPr>
        <w:pStyle w:val="Heading1"/>
        <w:jc w:val="left"/>
      </w:pPr>
      <w:r>
        <w:rPr>
          <w:color w:val="0F6E56"/>
        </w:rPr>
        <w:t>2. Key Statistics at a Glance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6E56"/>
          </w:tcPr>
          <w:p>
            <w:r>
              <w:rPr>
                <w:b/>
                <w:color w:val="FFFFFF"/>
                <w:sz w:val="20"/>
              </w:rPr>
              <w:t>Indicator</w:t>
            </w:r>
          </w:p>
        </w:tc>
        <w:tc>
          <w:tcPr>
            <w:tcW w:type="dxa" w:w="3135"/>
            <w:shd w:val="clear" w:color="auto" w:fill="0F6E56"/>
          </w:tcPr>
          <w:p>
            <w:r>
              <w:rPr>
                <w:b/>
                <w:color w:val="FFFFFF"/>
                <w:sz w:val="20"/>
              </w:rPr>
              <w:t>Finding</w:t>
            </w:r>
          </w:p>
        </w:tc>
        <w:tc>
          <w:tcPr>
            <w:tcW w:type="dxa" w:w="3135"/>
            <w:shd w:val="clear" w:color="auto" w:fill="0F6E56"/>
          </w:tcPr>
          <w:p>
            <w:r>
              <w:rPr>
                <w:b/>
                <w:color w:val="FFFFFF"/>
                <w:sz w:val="20"/>
              </w:rPr>
              <w:t>Severity</w:t>
            </w:r>
          </w:p>
        </w:tc>
      </w:tr>
      <w:tr>
        <w:tc>
          <w:tcPr>
            <w:tcW w:type="dxa" w:w="3135"/>
          </w:tcPr>
          <w:p>
            <w:r>
              <w:rPr>
                <w:sz w:val="18"/>
              </w:rPr>
              <w:t>Schools assessed</w:t>
            </w:r>
          </w:p>
        </w:tc>
        <w:tc>
          <w:tcPr>
            <w:tcW w:type="dxa" w:w="3135"/>
          </w:tcPr>
          <w:p>
            <w:r>
              <w:rPr>
                <w:sz w:val="18"/>
              </w:rPr>
              <w:t>18 government schools</w:t>
            </w:r>
          </w:p>
        </w:tc>
        <w:tc>
          <w:tcPr>
            <w:tcW w:type="dxa" w:w="3135"/>
          </w:tcPr>
          <w:p>
            <w:r>
              <w:rPr>
                <w:sz w:val="18"/>
              </w:rPr>
              <w:t>—</w:t>
            </w:r>
          </w:p>
        </w:tc>
      </w:tr>
      <w:tr>
        <w:tc>
          <w:tcPr>
            <w:tcW w:type="dxa" w:w="3135"/>
          </w:tcPr>
          <w:p>
            <w:r>
              <w:rPr>
                <w:sz w:val="18"/>
              </w:rPr>
              <w:t>Students directly affected</w:t>
            </w:r>
          </w:p>
        </w:tc>
        <w:tc>
          <w:tcPr>
            <w:tcW w:type="dxa" w:w="3135"/>
          </w:tcPr>
          <w:p>
            <w:r>
              <w:rPr>
                <w:sz w:val="18"/>
              </w:rPr>
              <w:t>14,200+ students</w:t>
            </w:r>
          </w:p>
        </w:tc>
        <w:tc>
          <w:tcPr>
            <w:tcW w:type="dxa" w:w="3135"/>
          </w:tcPr>
          <w:p>
            <w:r>
              <w:rPr>
                <w:sz w:val="18"/>
              </w:rPr>
              <w:t>HIGH</w:t>
            </w:r>
          </w:p>
        </w:tc>
      </w:tr>
      <w:tr>
        <w:tc>
          <w:tcPr>
            <w:tcW w:type="dxa" w:w="3135"/>
          </w:tcPr>
          <w:p>
            <w:r>
              <w:rPr>
                <w:sz w:val="18"/>
              </w:rPr>
              <w:t>Schools with damaged infrastructure</w:t>
            </w:r>
          </w:p>
        </w:tc>
        <w:tc>
          <w:tcPr>
            <w:tcW w:type="dxa" w:w="3135"/>
          </w:tcPr>
          <w:p>
            <w:r>
              <w:rPr>
                <w:sz w:val="18"/>
              </w:rPr>
              <w:t>13 out of 18 (72%)</w:t>
            </w:r>
          </w:p>
        </w:tc>
        <w:tc>
          <w:tcPr>
            <w:tcW w:type="dxa" w:w="3135"/>
          </w:tcPr>
          <w:p>
            <w:r>
              <w:rPr>
                <w:b/>
                <w:color w:val="A32D2D"/>
                <w:sz w:val="18"/>
              </w:rPr>
              <w:t>CRITICAL</w:t>
            </w:r>
          </w:p>
        </w:tc>
      </w:tr>
      <w:tr>
        <w:tc>
          <w:tcPr>
            <w:tcW w:type="dxa" w:w="3135"/>
          </w:tcPr>
          <w:p>
            <w:r>
              <w:rPr>
                <w:sz w:val="18"/>
              </w:rPr>
              <w:t>Students who dropped out post-flood</w:t>
            </w:r>
          </w:p>
        </w:tc>
        <w:tc>
          <w:tcPr>
            <w:tcW w:type="dxa" w:w="3135"/>
          </w:tcPr>
          <w:p>
            <w:r>
              <w:rPr>
                <w:sz w:val="18"/>
              </w:rPr>
              <w:t>2,847 students (20%)</w:t>
            </w:r>
          </w:p>
        </w:tc>
        <w:tc>
          <w:tcPr>
            <w:tcW w:type="dxa" w:w="3135"/>
          </w:tcPr>
          <w:p>
            <w:r>
              <w:rPr>
                <w:b/>
                <w:color w:val="A32D2D"/>
                <w:sz w:val="18"/>
              </w:rPr>
              <w:t>CRITICAL</w:t>
            </w:r>
          </w:p>
        </w:tc>
      </w:tr>
      <w:tr>
        <w:tc>
          <w:tcPr>
            <w:tcW w:type="dxa" w:w="3135"/>
          </w:tcPr>
          <w:p>
            <w:r>
              <w:rPr>
                <w:sz w:val="18"/>
              </w:rPr>
              <w:t>Teachers displaced / absent</w:t>
            </w:r>
          </w:p>
        </w:tc>
        <w:tc>
          <w:tcPr>
            <w:tcW w:type="dxa" w:w="3135"/>
          </w:tcPr>
          <w:p>
            <w:r>
              <w:rPr>
                <w:sz w:val="18"/>
              </w:rPr>
              <w:t>89 teachers (41%)</w:t>
            </w:r>
          </w:p>
        </w:tc>
        <w:tc>
          <w:tcPr>
            <w:tcW w:type="dxa" w:w="3135"/>
          </w:tcPr>
          <w:p>
            <w:r>
              <w:rPr>
                <w:sz w:val="18"/>
              </w:rPr>
              <w:t>HIGH</w:t>
            </w:r>
          </w:p>
        </w:tc>
      </w:tr>
      <w:tr>
        <w:tc>
          <w:tcPr>
            <w:tcW w:type="dxa" w:w="3135"/>
          </w:tcPr>
          <w:p>
            <w:r>
              <w:rPr>
                <w:sz w:val="18"/>
              </w:rPr>
              <w:t>Schools with no textbooks</w:t>
            </w:r>
          </w:p>
        </w:tc>
        <w:tc>
          <w:tcPr>
            <w:tcW w:type="dxa" w:w="3135"/>
          </w:tcPr>
          <w:p>
            <w:r>
              <w:rPr>
                <w:sz w:val="18"/>
              </w:rPr>
              <w:t>11 schools (61%)</w:t>
            </w:r>
          </w:p>
        </w:tc>
        <w:tc>
          <w:tcPr>
            <w:tcW w:type="dxa" w:w="3135"/>
          </w:tcPr>
          <w:p>
            <w:r>
              <w:rPr>
                <w:sz w:val="18"/>
              </w:rPr>
              <w:t>HIGH</w:t>
            </w:r>
          </w:p>
        </w:tc>
      </w:tr>
      <w:tr>
        <w:tc>
          <w:tcPr>
            <w:tcW w:type="dxa" w:w="3135"/>
          </w:tcPr>
          <w:p>
            <w:r>
              <w:rPr>
                <w:sz w:val="18"/>
              </w:rPr>
              <w:t>Girls who stopped attending</w:t>
            </w:r>
          </w:p>
        </w:tc>
        <w:tc>
          <w:tcPr>
            <w:tcW w:type="dxa" w:w="3135"/>
          </w:tcPr>
          <w:p>
            <w:r>
              <w:rPr>
                <w:sz w:val="18"/>
              </w:rPr>
              <w:t>1,234 girls (43% of dropouts)</w:t>
            </w:r>
          </w:p>
        </w:tc>
        <w:tc>
          <w:tcPr>
            <w:tcW w:type="dxa" w:w="3135"/>
          </w:tcPr>
          <w:p>
            <w:r>
              <w:rPr>
                <w:b/>
                <w:color w:val="A32D2D"/>
                <w:sz w:val="18"/>
              </w:rPr>
              <w:t>CRITICAL</w:t>
            </w:r>
          </w:p>
        </w:tc>
      </w:tr>
      <w:tr>
        <w:tc>
          <w:tcPr>
            <w:tcW w:type="dxa" w:w="3135"/>
          </w:tcPr>
          <w:p>
            <w:r>
              <w:rPr>
                <w:sz w:val="18"/>
              </w:rPr>
              <w:t>Children showing trauma symptoms</w:t>
            </w:r>
          </w:p>
        </w:tc>
        <w:tc>
          <w:tcPr>
            <w:tcW w:type="dxa" w:w="3135"/>
          </w:tcPr>
          <w:p>
            <w:r>
              <w:rPr>
                <w:sz w:val="18"/>
              </w:rPr>
              <w:t>Approx. 3,500 children</w:t>
            </w:r>
          </w:p>
        </w:tc>
        <w:tc>
          <w:tcPr>
            <w:tcW w:type="dxa" w:w="3135"/>
          </w:tcPr>
          <w:p>
            <w:r>
              <w:rPr>
                <w:sz w:val="18"/>
              </w:rPr>
              <w:t>HIGH</w:t>
            </w:r>
          </w:p>
        </w:tc>
      </w:tr>
    </w:tbl>
    <w:p/>
    <w:p>
      <w:pPr>
        <w:pStyle w:val="Heading1"/>
        <w:jc w:val="left"/>
      </w:pPr>
      <w:r>
        <w:rPr>
          <w:color w:val="0F6E56"/>
        </w:rPr>
        <w:t>3. Detailed Findings</w:t>
      </w:r>
    </w:p>
    <w:p>
      <w:pPr>
        <w:pStyle w:val="Heading2"/>
        <w:jc w:val="left"/>
      </w:pPr>
      <w:r>
        <w:rPr>
          <w:color w:val="1A1A2E"/>
        </w:rPr>
        <w:t>3.1 Infrastructure Damage</w:t>
      </w:r>
    </w:p>
    <w:p>
      <w:pPr>
        <w:jc w:val="both"/>
      </w:pPr>
      <w:r>
        <w:rPr>
          <w:b w:val="0"/>
          <w:sz w:val="20"/>
        </w:rPr>
        <w:t>Physical inspection of 18 school buildings revealed extensive structural damage. The most common issues include collapsed roofs, damaged walls, destroyed furniture, and flooded classrooms with mold growth. Many schools are being used as relief camps and have not been vacated despite flood waters receding 3 months ago.</w:t>
      </w:r>
    </w:p>
    <w:p>
      <w:pPr>
        <w:pStyle w:val="ListBullet"/>
      </w:pPr>
      <w:r>
        <w:rPr>
          <w:sz w:val="20"/>
        </w:rPr>
        <w:t>6 schools have completely collapsed roofs — classes held under open sky or trees</w:t>
      </w:r>
    </w:p>
    <w:p>
      <w:pPr>
        <w:pStyle w:val="ListBullet"/>
      </w:pPr>
      <w:r>
        <w:rPr>
          <w:sz w:val="20"/>
        </w:rPr>
        <w:t>9 schools have partially damaged classrooms — reduced usable space by 60%</w:t>
      </w:r>
    </w:p>
    <w:p>
      <w:pPr>
        <w:pStyle w:val="ListBullet"/>
      </w:pPr>
      <w:r>
        <w:rPr>
          <w:sz w:val="20"/>
        </w:rPr>
        <w:t>All blackboards in 11 schools destroyed or unreadable due to water damage</w:t>
      </w:r>
    </w:p>
    <w:p>
      <w:pPr>
        <w:pStyle w:val="ListBullet"/>
      </w:pPr>
      <w:r>
        <w:rPr>
          <w:sz w:val="20"/>
        </w:rPr>
        <w:t>Toilet facilities non-functional in 14 schools — girls refusing to attend</w:t>
      </w:r>
    </w:p>
    <w:p>
      <w:pPr>
        <w:pStyle w:val="ListBullet"/>
      </w:pPr>
      <w:r>
        <w:rPr>
          <w:sz w:val="20"/>
        </w:rPr>
        <w:t>3 schools still being used as relief camps with 200+ displaced families</w:t>
      </w:r>
    </w:p>
    <w:p>
      <w:pPr>
        <w:pStyle w:val="ListBullet"/>
      </w:pPr>
      <w:r>
        <w:rPr>
          <w:sz w:val="20"/>
        </w:rPr>
        <w:t>No school has received any government repair funds as of report date</w:t>
      </w:r>
    </w:p>
    <w:p/>
    <w:p>
      <w:pPr>
        <w:pStyle w:val="Heading2"/>
        <w:jc w:val="left"/>
      </w:pPr>
      <w:r>
        <w:rPr>
          <w:color w:val="1A1A2E"/>
        </w:rPr>
        <w:t>3.2 Student Dropout Analysis</w:t>
      </w:r>
    </w:p>
    <w:p>
      <w:pPr>
        <w:jc w:val="both"/>
      </w:pPr>
      <w:r>
        <w:rPr>
          <w:b w:val="0"/>
          <w:sz w:val="20"/>
        </w:rPr>
        <w:t>The dropout situation is most severe among girls in Classes 6–10 and among students from families with total income loss due to the flood. Field workers conducted door-to-door surveys to track dropouts and understand barriers to return.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1a2e"/>
          </w:tcPr>
          <w:p>
            <w:r>
              <w:rPr>
                <w:b/>
                <w:color w:val="FFFFFF"/>
                <w:sz w:val="18"/>
              </w:rPr>
              <w:t>Reason for Dropout</w:t>
            </w:r>
          </w:p>
        </w:tc>
        <w:tc>
          <w:tcPr>
            <w:tcW w:type="dxa" w:w="2351"/>
            <w:shd w:val="clear" w:color="auto" w:fill="1a1a2e"/>
          </w:tcPr>
          <w:p>
            <w:r>
              <w:rPr>
                <w:b/>
                <w:color w:val="FFFFFF"/>
                <w:sz w:val="18"/>
              </w:rPr>
              <w:t>Boys Affected</w:t>
            </w:r>
          </w:p>
        </w:tc>
        <w:tc>
          <w:tcPr>
            <w:tcW w:type="dxa" w:w="2351"/>
            <w:shd w:val="clear" w:color="auto" w:fill="1a1a2e"/>
          </w:tcPr>
          <w:p>
            <w:r>
              <w:rPr>
                <w:b/>
                <w:color w:val="FFFFFF"/>
                <w:sz w:val="18"/>
              </w:rPr>
              <w:t>Girls Affected</w:t>
            </w:r>
          </w:p>
        </w:tc>
        <w:tc>
          <w:tcPr>
            <w:tcW w:type="dxa" w:w="2351"/>
            <w:shd w:val="clear" w:color="auto" w:fill="1a1a2e"/>
          </w:tcPr>
          <w:p>
            <w:r>
              <w:rPr>
                <w:b/>
                <w:color w:val="FFFFFF"/>
                <w:sz w:val="18"/>
              </w:rPr>
              <w:t>Total</w:t>
            </w:r>
          </w:p>
        </w:tc>
      </w:tr>
      <w:tr>
        <w:tc>
          <w:tcPr>
            <w:tcW w:type="dxa" w:w="2351"/>
          </w:tcPr>
          <w:p>
            <w:r>
              <w:rPr>
                <w:sz w:val="18"/>
              </w:rPr>
              <w:t>Family needs child to work</w:t>
            </w:r>
          </w:p>
        </w:tc>
        <w:tc>
          <w:tcPr>
            <w:tcW w:type="dxa" w:w="2351"/>
          </w:tcPr>
          <w:p>
            <w:r>
              <w:rPr>
                <w:sz w:val="18"/>
              </w:rPr>
              <w:t>456</w:t>
            </w:r>
          </w:p>
        </w:tc>
        <w:tc>
          <w:tcPr>
            <w:tcW w:type="dxa" w:w="2351"/>
          </w:tcPr>
          <w:p>
            <w:r>
              <w:rPr>
                <w:sz w:val="18"/>
              </w:rPr>
              <w:t>123</w:t>
            </w:r>
          </w:p>
        </w:tc>
        <w:tc>
          <w:tcPr>
            <w:tcW w:type="dxa" w:w="2351"/>
          </w:tcPr>
          <w:p>
            <w:r>
              <w:rPr>
                <w:sz w:val="18"/>
              </w:rPr>
              <w:t>579</w:t>
            </w:r>
          </w:p>
        </w:tc>
      </w:tr>
      <w:tr>
        <w:tc>
          <w:tcPr>
            <w:tcW w:type="dxa" w:w="2351"/>
          </w:tcPr>
          <w:p>
            <w:r>
              <w:rPr>
                <w:sz w:val="18"/>
              </w:rPr>
              <w:t>School building damaged/unsafe</w:t>
            </w:r>
          </w:p>
        </w:tc>
        <w:tc>
          <w:tcPr>
            <w:tcW w:type="dxa" w:w="2351"/>
          </w:tcPr>
          <w:p>
            <w:r>
              <w:rPr>
                <w:sz w:val="18"/>
              </w:rPr>
              <w:t>234</w:t>
            </w:r>
          </w:p>
        </w:tc>
        <w:tc>
          <w:tcPr>
            <w:tcW w:type="dxa" w:w="2351"/>
          </w:tcPr>
          <w:p>
            <w:r>
              <w:rPr>
                <w:sz w:val="18"/>
              </w:rPr>
              <w:t>312</w:t>
            </w:r>
          </w:p>
        </w:tc>
        <w:tc>
          <w:tcPr>
            <w:tcW w:type="dxa" w:w="2351"/>
          </w:tcPr>
          <w:p>
            <w:r>
              <w:rPr>
                <w:sz w:val="18"/>
              </w:rPr>
              <w:t>546</w:t>
            </w:r>
          </w:p>
        </w:tc>
      </w:tr>
      <w:tr>
        <w:tc>
          <w:tcPr>
            <w:tcW w:type="dxa" w:w="2351"/>
          </w:tcPr>
          <w:p>
            <w:r>
              <w:rPr>
                <w:sz w:val="18"/>
              </w:rPr>
              <w:t>No transport / road damage</w:t>
            </w:r>
          </w:p>
        </w:tc>
        <w:tc>
          <w:tcPr>
            <w:tcW w:type="dxa" w:w="2351"/>
          </w:tcPr>
          <w:p>
            <w:r>
              <w:rPr>
                <w:sz w:val="18"/>
              </w:rPr>
              <w:t>167</w:t>
            </w:r>
          </w:p>
        </w:tc>
        <w:tc>
          <w:tcPr>
            <w:tcW w:type="dxa" w:w="2351"/>
          </w:tcPr>
          <w:p>
            <w:r>
              <w:rPr>
                <w:sz w:val="18"/>
              </w:rPr>
              <w:t>298</w:t>
            </w:r>
          </w:p>
        </w:tc>
        <w:tc>
          <w:tcPr>
            <w:tcW w:type="dxa" w:w="2351"/>
          </w:tcPr>
          <w:p>
            <w:r>
              <w:rPr>
                <w:sz w:val="18"/>
              </w:rPr>
              <w:t>465</w:t>
            </w:r>
          </w:p>
        </w:tc>
      </w:tr>
      <w:tr>
        <w:tc>
          <w:tcPr>
            <w:tcW w:type="dxa" w:w="2351"/>
          </w:tcPr>
          <w:p>
            <w:r>
              <w:rPr>
                <w:sz w:val="18"/>
              </w:rPr>
              <w:t>Trauma / psychological distress</w:t>
            </w:r>
          </w:p>
        </w:tc>
        <w:tc>
          <w:tcPr>
            <w:tcW w:type="dxa" w:w="2351"/>
          </w:tcPr>
          <w:p>
            <w:r>
              <w:rPr>
                <w:sz w:val="18"/>
              </w:rPr>
              <w:t>189</w:t>
            </w:r>
          </w:p>
        </w:tc>
        <w:tc>
          <w:tcPr>
            <w:tcW w:type="dxa" w:w="2351"/>
          </w:tcPr>
          <w:p>
            <w:r>
              <w:rPr>
                <w:sz w:val="18"/>
              </w:rPr>
              <w:t>267</w:t>
            </w:r>
          </w:p>
        </w:tc>
        <w:tc>
          <w:tcPr>
            <w:tcW w:type="dxa" w:w="2351"/>
          </w:tcPr>
          <w:p>
            <w:r>
              <w:rPr>
                <w:sz w:val="18"/>
              </w:rPr>
              <w:t>456</w:t>
            </w:r>
          </w:p>
        </w:tc>
      </w:tr>
      <w:tr>
        <w:tc>
          <w:tcPr>
            <w:tcW w:type="dxa" w:w="2351"/>
          </w:tcPr>
          <w:p>
            <w:r>
              <w:rPr>
                <w:sz w:val="18"/>
              </w:rPr>
              <w:t>Marriage (girls)</w:t>
            </w:r>
          </w:p>
        </w:tc>
        <w:tc>
          <w:tcPr>
            <w:tcW w:type="dxa" w:w="2351"/>
          </w:tcPr>
          <w:p>
            <w:r>
              <w:rPr>
                <w:sz w:val="18"/>
              </w:rPr>
              <w:t>0</w:t>
            </w:r>
          </w:p>
        </w:tc>
        <w:tc>
          <w:tcPr>
            <w:tcW w:type="dxa" w:w="2351"/>
          </w:tcPr>
          <w:p>
            <w:r>
              <w:rPr>
                <w:sz w:val="18"/>
              </w:rPr>
              <w:t>234</w:t>
            </w:r>
          </w:p>
        </w:tc>
        <w:tc>
          <w:tcPr>
            <w:tcW w:type="dxa" w:w="2351"/>
          </w:tcPr>
          <w:p>
            <w:r>
              <w:rPr>
                <w:sz w:val="18"/>
              </w:rPr>
              <w:t>234</w:t>
            </w:r>
          </w:p>
        </w:tc>
      </w:tr>
      <w:tr>
        <w:tc>
          <w:tcPr>
            <w:tcW w:type="dxa" w:w="2351"/>
          </w:tcPr>
          <w:p>
            <w:r>
              <w:rPr>
                <w:sz w:val="18"/>
              </w:rPr>
              <w:t>Migrated with family</w:t>
            </w:r>
          </w:p>
        </w:tc>
        <w:tc>
          <w:tcPr>
            <w:tcW w:type="dxa" w:w="2351"/>
          </w:tcPr>
          <w:p>
            <w:r>
              <w:rPr>
                <w:sz w:val="18"/>
              </w:rPr>
              <w:t>312</w:t>
            </w:r>
          </w:p>
        </w:tc>
        <w:tc>
          <w:tcPr>
            <w:tcW w:type="dxa" w:w="2351"/>
          </w:tcPr>
          <w:p>
            <w:r>
              <w:rPr>
                <w:sz w:val="18"/>
              </w:rPr>
              <w:t>255</w:t>
            </w:r>
          </w:p>
        </w:tc>
        <w:tc>
          <w:tcPr>
            <w:tcW w:type="dxa" w:w="2351"/>
          </w:tcPr>
          <w:p>
            <w:r>
              <w:rPr>
                <w:sz w:val="18"/>
              </w:rPr>
              <w:t>567</w:t>
            </w:r>
          </w:p>
        </w:tc>
      </w:tr>
    </w:tbl>
    <w:p/>
    <w:p>
      <w:pPr>
        <w:pStyle w:val="Heading2"/>
        <w:jc w:val="left"/>
      </w:pPr>
      <w:r>
        <w:rPr>
          <w:color w:val="1A1A2E"/>
        </w:rPr>
        <w:t>3.3 Teacher Situation</w:t>
      </w:r>
    </w:p>
    <w:p>
      <w:pPr>
        <w:jc w:val="both"/>
      </w:pPr>
      <w:r>
        <w:rPr>
          <w:b w:val="0"/>
          <w:sz w:val="20"/>
        </w:rPr>
        <w:t>Of 217 teachers across 18 surveyed schools, 89 (41%) are currently displaced or absent. Remaining teachers report extreme stress, lack of teaching materials, and inability to manage trauma-affected students without psychosocial training.</w:t>
      </w:r>
    </w:p>
    <w:p>
      <w:pPr>
        <w:pStyle w:val="ListBullet"/>
      </w:pPr>
      <w:r>
        <w:rPr>
          <w:sz w:val="20"/>
        </w:rPr>
        <w:t>34 teachers lost their homes in the flood — currently living in relief camps</w:t>
      </w:r>
    </w:p>
    <w:p>
      <w:pPr>
        <w:pStyle w:val="ListBullet"/>
      </w:pPr>
      <w:r>
        <w:rPr>
          <w:sz w:val="20"/>
        </w:rPr>
        <w:t>28 teachers transferred to other districts by government during emergency</w:t>
      </w:r>
    </w:p>
    <w:p>
      <w:pPr>
        <w:pStyle w:val="ListBullet"/>
      </w:pPr>
      <w:r>
        <w:rPr>
          <w:sz w:val="20"/>
        </w:rPr>
        <w:t>27 teachers taking long absence due to personal family crisis</w:t>
      </w:r>
    </w:p>
    <w:p>
      <w:pPr>
        <w:pStyle w:val="ListBullet"/>
      </w:pPr>
      <w:r>
        <w:rPr>
          <w:sz w:val="20"/>
        </w:rPr>
        <w:t>Remaining teachers: 1 teacher managing 80–120 students in many schools</w:t>
      </w:r>
    </w:p>
    <w:p>
      <w:pPr>
        <w:pStyle w:val="ListBullet"/>
      </w:pPr>
      <w:r>
        <w:rPr>
          <w:sz w:val="20"/>
        </w:rPr>
        <w:t>No substitute teacher arrangement made by district education office</w:t>
      </w:r>
    </w:p>
    <w:p/>
    <w:p>
      <w:pPr>
        <w:pStyle w:val="Heading1"/>
        <w:jc w:val="left"/>
      </w:pPr>
      <w:r>
        <w:rPr>
          <w:color w:val="0F6E56"/>
        </w:rPr>
        <w:t>4. Volunteer Needs Assessment</w:t>
      </w:r>
    </w:p>
    <w:p>
      <w:pPr>
        <w:jc w:val="both"/>
      </w:pPr>
      <w:r>
        <w:rPr>
          <w:b w:val="0"/>
          <w:sz w:val="20"/>
        </w:rPr>
        <w:t>Based on the findings, we have identified the following critical volunteer needs. All volunteers will receive local accommodation and a daily stipend of Rs. 500 for food.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F6E56"/>
          </w:tcPr>
          <w:p>
            <w:r>
              <w:rPr>
                <w:b/>
                <w:color w:val="FFFFFF"/>
                <w:sz w:val="18"/>
              </w:rPr>
              <w:t>Volunteer Role</w:t>
            </w:r>
          </w:p>
        </w:tc>
        <w:tc>
          <w:tcPr>
            <w:tcW w:type="dxa" w:w="1881"/>
            <w:shd w:val="clear" w:color="auto" w:fill="0F6E56"/>
          </w:tcPr>
          <w:p>
            <w:r>
              <w:rPr>
                <w:b/>
                <w:color w:val="FFFFFF"/>
                <w:sz w:val="18"/>
              </w:rPr>
              <w:t>Number Needed</w:t>
            </w:r>
          </w:p>
        </w:tc>
        <w:tc>
          <w:tcPr>
            <w:tcW w:type="dxa" w:w="1881"/>
            <w:shd w:val="clear" w:color="auto" w:fill="0F6E56"/>
          </w:tcPr>
          <w:p>
            <w:r>
              <w:rPr>
                <w:b/>
                <w:color w:val="FFFFFF"/>
                <w:sz w:val="18"/>
              </w:rPr>
              <w:t>Key Skills</w:t>
            </w:r>
          </w:p>
        </w:tc>
        <w:tc>
          <w:tcPr>
            <w:tcW w:type="dxa" w:w="1881"/>
            <w:shd w:val="clear" w:color="auto" w:fill="0F6E56"/>
          </w:tcPr>
          <w:p>
            <w:r>
              <w:rPr>
                <w:b/>
                <w:color w:val="FFFFFF"/>
                <w:sz w:val="18"/>
              </w:rPr>
              <w:t>Priority</w:t>
            </w:r>
          </w:p>
        </w:tc>
        <w:tc>
          <w:tcPr>
            <w:tcW w:type="dxa" w:w="1881"/>
            <w:shd w:val="clear" w:color="auto" w:fill="0F6E56"/>
          </w:tcPr>
          <w:p>
            <w:r>
              <w:rPr>
                <w:b/>
                <w:color w:val="FFFFFF"/>
                <w:sz w:val="18"/>
              </w:rPr>
              <w:t>Min Duration</w:t>
            </w:r>
          </w:p>
        </w:tc>
      </w:tr>
      <w:tr>
        <w:tc>
          <w:tcPr>
            <w:tcW w:type="dxa" w:w="1881"/>
          </w:tcPr>
          <w:p>
            <w:r>
              <w:rPr>
                <w:sz w:val="18"/>
              </w:rPr>
              <w:t>Subject Teacher (Math/Science)</w:t>
            </w:r>
          </w:p>
        </w:tc>
        <w:tc>
          <w:tcPr>
            <w:tcW w:type="dxa" w:w="1881"/>
          </w:tcPr>
          <w:p>
            <w:r>
              <w:rPr>
                <w:sz w:val="18"/>
              </w:rPr>
              <w:t>12</w:t>
            </w:r>
          </w:p>
        </w:tc>
        <w:tc>
          <w:tcPr>
            <w:tcW w:type="dxa" w:w="1881"/>
          </w:tcPr>
          <w:p>
            <w:r>
              <w:rPr>
                <w:sz w:val="18"/>
              </w:rPr>
              <w:t>Teaching, patience</w:t>
            </w:r>
          </w:p>
        </w:tc>
        <w:tc>
          <w:tcPr>
            <w:tcW w:type="dxa" w:w="1881"/>
          </w:tcPr>
          <w:p>
            <w:r>
              <w:rPr>
                <w:b/>
                <w:color w:val="A32D2D"/>
                <w:sz w:val="18"/>
              </w:rPr>
              <w:t>CRITICAL</w:t>
            </w:r>
          </w:p>
        </w:tc>
        <w:tc>
          <w:tcPr>
            <w:tcW w:type="dxa" w:w="1881"/>
          </w:tcPr>
          <w:p>
            <w:r>
              <w:rPr>
                <w:sz w:val="18"/>
              </w:rPr>
              <w:t>4 weeks</w:t>
            </w:r>
          </w:p>
        </w:tc>
      </w:tr>
      <w:tr>
        <w:tc>
          <w:tcPr>
            <w:tcW w:type="dxa" w:w="1881"/>
          </w:tcPr>
          <w:p>
            <w:r>
              <w:rPr>
                <w:sz w:val="18"/>
              </w:rPr>
              <w:t>Psychosocial Counselor</w:t>
            </w:r>
          </w:p>
        </w:tc>
        <w:tc>
          <w:tcPr>
            <w:tcW w:type="dxa" w:w="1881"/>
          </w:tcPr>
          <w:p>
            <w:r>
              <w:rPr>
                <w:sz w:val="18"/>
              </w:rPr>
              <w:t>6</w:t>
            </w:r>
          </w:p>
        </w:tc>
        <w:tc>
          <w:tcPr>
            <w:tcW w:type="dxa" w:w="1881"/>
          </w:tcPr>
          <w:p>
            <w:r>
              <w:rPr>
                <w:sz w:val="18"/>
              </w:rPr>
              <w:t>Counseling, child psychology</w:t>
            </w:r>
          </w:p>
        </w:tc>
        <w:tc>
          <w:tcPr>
            <w:tcW w:type="dxa" w:w="1881"/>
          </w:tcPr>
          <w:p>
            <w:r>
              <w:rPr>
                <w:b/>
                <w:color w:val="A32D2D"/>
                <w:sz w:val="18"/>
              </w:rPr>
              <w:t>CRITICAL</w:t>
            </w:r>
          </w:p>
        </w:tc>
        <w:tc>
          <w:tcPr>
            <w:tcW w:type="dxa" w:w="1881"/>
          </w:tcPr>
          <w:p>
            <w:r>
              <w:rPr>
                <w:sz w:val="18"/>
              </w:rPr>
              <w:t>6 weeks</w:t>
            </w:r>
          </w:p>
        </w:tc>
      </w:tr>
      <w:tr>
        <w:tc>
          <w:tcPr>
            <w:tcW w:type="dxa" w:w="1881"/>
          </w:tcPr>
          <w:p>
            <w:r>
              <w:rPr>
                <w:sz w:val="18"/>
              </w:rPr>
              <w:t>Girls Education Facilitator</w:t>
            </w:r>
          </w:p>
        </w:tc>
        <w:tc>
          <w:tcPr>
            <w:tcW w:type="dxa" w:w="1881"/>
          </w:tcPr>
          <w:p>
            <w:r>
              <w:rPr>
                <w:sz w:val="18"/>
              </w:rPr>
              <w:t>4</w:t>
            </w:r>
          </w:p>
        </w:tc>
        <w:tc>
          <w:tcPr>
            <w:tcW w:type="dxa" w:w="1881"/>
          </w:tcPr>
          <w:p>
            <w:r>
              <w:rPr>
                <w:sz w:val="18"/>
              </w:rPr>
              <w:t>Women empowerment, teaching</w:t>
            </w:r>
          </w:p>
        </w:tc>
        <w:tc>
          <w:tcPr>
            <w:tcW w:type="dxa" w:w="1881"/>
          </w:tcPr>
          <w:p>
            <w:r>
              <w:rPr>
                <w:sz w:val="18"/>
              </w:rPr>
              <w:t>HIGH</w:t>
            </w:r>
          </w:p>
        </w:tc>
        <w:tc>
          <w:tcPr>
            <w:tcW w:type="dxa" w:w="1881"/>
          </w:tcPr>
          <w:p>
            <w:r>
              <w:rPr>
                <w:sz w:val="18"/>
              </w:rPr>
              <w:t>4 weeks</w:t>
            </w:r>
          </w:p>
        </w:tc>
      </w:tr>
      <w:tr>
        <w:tc>
          <w:tcPr>
            <w:tcW w:type="dxa" w:w="1881"/>
          </w:tcPr>
          <w:p>
            <w:r>
              <w:rPr>
                <w:sz w:val="18"/>
              </w:rPr>
              <w:t>Infrastructure Volunteer</w:t>
            </w:r>
          </w:p>
        </w:tc>
        <w:tc>
          <w:tcPr>
            <w:tcW w:type="dxa" w:w="1881"/>
          </w:tcPr>
          <w:p>
            <w:r>
              <w:rPr>
                <w:sz w:val="18"/>
              </w:rPr>
              <w:t>8</w:t>
            </w:r>
          </w:p>
        </w:tc>
        <w:tc>
          <w:tcPr>
            <w:tcW w:type="dxa" w:w="1881"/>
          </w:tcPr>
          <w:p>
            <w:r>
              <w:rPr>
                <w:sz w:val="18"/>
              </w:rPr>
              <w:t>Construction, labor coordination</w:t>
            </w:r>
          </w:p>
        </w:tc>
        <w:tc>
          <w:tcPr>
            <w:tcW w:type="dxa" w:w="1881"/>
          </w:tcPr>
          <w:p>
            <w:r>
              <w:rPr>
                <w:sz w:val="18"/>
              </w:rPr>
              <w:t>HIGH</w:t>
            </w:r>
          </w:p>
        </w:tc>
        <w:tc>
          <w:tcPr>
            <w:tcW w:type="dxa" w:w="1881"/>
          </w:tcPr>
          <w:p>
            <w:r>
              <w:rPr>
                <w:sz w:val="18"/>
              </w:rPr>
              <w:t>2 weeks</w:t>
            </w:r>
          </w:p>
        </w:tc>
      </w:tr>
      <w:tr>
        <w:tc>
          <w:tcPr>
            <w:tcW w:type="dxa" w:w="1881"/>
          </w:tcPr>
          <w:p>
            <w:r>
              <w:rPr>
                <w:sz w:val="18"/>
              </w:rPr>
              <w:t>IT / Digital Skills Trainer</w:t>
            </w:r>
          </w:p>
        </w:tc>
        <w:tc>
          <w:tcPr>
            <w:tcW w:type="dxa" w:w="1881"/>
          </w:tcPr>
          <w:p>
            <w:r>
              <w:rPr>
                <w:sz w:val="18"/>
              </w:rPr>
              <w:t>3</w:t>
            </w:r>
          </w:p>
        </w:tc>
        <w:tc>
          <w:tcPr>
            <w:tcW w:type="dxa" w:w="1881"/>
          </w:tcPr>
          <w:p>
            <w:r>
              <w:rPr>
                <w:sz w:val="18"/>
              </w:rPr>
              <w:t>IT support, teaching</w:t>
            </w:r>
          </w:p>
        </w:tc>
        <w:tc>
          <w:tcPr>
            <w:tcW w:type="dxa" w:w="1881"/>
          </w:tcPr>
          <w:p>
            <w:r>
              <w:rPr>
                <w:sz w:val="18"/>
              </w:rPr>
              <w:t>MEDIUM</w:t>
            </w:r>
          </w:p>
        </w:tc>
        <w:tc>
          <w:tcPr>
            <w:tcW w:type="dxa" w:w="1881"/>
          </w:tcPr>
          <w:p>
            <w:r>
              <w:rPr>
                <w:sz w:val="18"/>
              </w:rPr>
              <w:t>2 weeks</w:t>
            </w:r>
          </w:p>
        </w:tc>
      </w:tr>
      <w:tr>
        <w:tc>
          <w:tcPr>
            <w:tcW w:type="dxa" w:w="1881"/>
          </w:tcPr>
          <w:p>
            <w:r>
              <w:rPr>
                <w:sz w:val="18"/>
              </w:rPr>
              <w:t>Logistics Coordinator</w:t>
            </w:r>
          </w:p>
        </w:tc>
        <w:tc>
          <w:tcPr>
            <w:tcW w:type="dxa" w:w="1881"/>
          </w:tcPr>
          <w:p>
            <w:r>
              <w:rPr>
                <w:sz w:val="18"/>
              </w:rPr>
              <w:t>2</w:t>
            </w:r>
          </w:p>
        </w:tc>
        <w:tc>
          <w:tcPr>
            <w:tcW w:type="dxa" w:w="1881"/>
          </w:tcPr>
          <w:p>
            <w:r>
              <w:rPr>
                <w:sz w:val="18"/>
              </w:rPr>
              <w:t>Driving, logistics</w:t>
            </w:r>
          </w:p>
        </w:tc>
        <w:tc>
          <w:tcPr>
            <w:tcW w:type="dxa" w:w="1881"/>
          </w:tcPr>
          <w:p>
            <w:r>
              <w:rPr>
                <w:sz w:val="18"/>
              </w:rPr>
              <w:t>HIGH</w:t>
            </w:r>
          </w:p>
        </w:tc>
        <w:tc>
          <w:tcPr>
            <w:tcW w:type="dxa" w:w="1881"/>
          </w:tcPr>
          <w:p>
            <w:r>
              <w:rPr>
                <w:sz w:val="18"/>
              </w:rPr>
              <w:t>Ongoing</w:t>
            </w:r>
          </w:p>
        </w:tc>
      </w:tr>
    </w:tbl>
    <w:p/>
    <w:p>
      <w:pPr>
        <w:pStyle w:val="Heading1"/>
        <w:jc w:val="left"/>
      </w:pPr>
      <w:r>
        <w:rPr>
          <w:color w:val="0F6E56"/>
        </w:rPr>
        <w:t>5. Recommendations</w:t>
      </w:r>
    </w:p>
    <w:p>
      <w:pPr>
        <w:pStyle w:val="Heading2"/>
        <w:jc w:val="left"/>
      </w:pPr>
      <w:r>
        <w:rPr>
          <w:color w:val="1A1A2E"/>
        </w:rPr>
        <w:t>Immediate Priorities (This Week)</w:t>
      </w:r>
    </w:p>
    <w:p>
      <w:pPr>
        <w:pStyle w:val="ListBullet"/>
      </w:pPr>
      <w:r>
        <w:rPr>
          <w:sz w:val="20"/>
        </w:rPr>
        <w:t>Deploy 6 subject teachers to the 3 most affected schools in Balasore immediately</w:t>
      </w:r>
    </w:p>
    <w:p>
      <w:pPr>
        <w:pStyle w:val="ListBullet"/>
      </w:pPr>
      <w:r>
        <w:rPr>
          <w:sz w:val="20"/>
        </w:rPr>
        <w:t>Begin psychosocial support sessions — 2 counselors to start this week in Bhadrak</w:t>
      </w:r>
    </w:p>
    <w:p>
      <w:pPr>
        <w:pStyle w:val="ListBullet"/>
      </w:pPr>
      <w:r>
        <w:rPr>
          <w:sz w:val="20"/>
        </w:rPr>
        <w:t>Distribute emergency school kits: notebooks, pencils, textbooks to 2,847 dropout students</w:t>
      </w:r>
    </w:p>
    <w:p>
      <w:pPr>
        <w:pStyle w:val="ListBullet"/>
      </w:pPr>
      <w:r>
        <w:rPr>
          <w:sz w:val="20"/>
        </w:rPr>
        <w:t>Initiate back-to-school campaign with community leaders and panchayat heads</w:t>
      </w:r>
    </w:p>
    <w:p/>
    <w:p>
      <w:pPr>
        <w:pStyle w:val="Heading2"/>
        <w:jc w:val="left"/>
      </w:pPr>
      <w:r>
        <w:rPr>
          <w:color w:val="1A1A2E"/>
        </w:rPr>
        <w:t>Medium-term Actions (Next 30 Days)</w:t>
      </w:r>
    </w:p>
    <w:p>
      <w:pPr>
        <w:pStyle w:val="ListBullet"/>
      </w:pPr>
      <w:r>
        <w:rPr>
          <w:sz w:val="20"/>
        </w:rPr>
        <w:t>Complete infrastructure repair on 6 priority schools to restore safe learning spaces</w:t>
      </w:r>
    </w:p>
    <w:p>
      <w:pPr>
        <w:pStyle w:val="ListBullet"/>
      </w:pPr>
      <w:r>
        <w:rPr>
          <w:sz w:val="20"/>
        </w:rPr>
        <w:t>Launch girls education program targeting 1,234 girl dropouts — home visits by facilitators</w:t>
      </w:r>
    </w:p>
    <w:p>
      <w:pPr>
        <w:pStyle w:val="ListBullet"/>
      </w:pPr>
      <w:r>
        <w:rPr>
          <w:sz w:val="20"/>
        </w:rPr>
        <w:t>Train all remaining teachers in trauma-informed teaching practices</w:t>
      </w:r>
    </w:p>
    <w:p>
      <w:pPr>
        <w:pStyle w:val="ListBullet"/>
      </w:pPr>
      <w:r>
        <w:rPr>
          <w:sz w:val="20"/>
        </w:rPr>
        <w:t>Establish 4 digital learning labs with donated laptops and volunteer IT trainers</w:t>
      </w:r>
    </w:p>
    <w:p>
      <w:pPr>
        <w:pStyle w:val="ListBullet"/>
      </w:pPr>
      <w:r>
        <w:rPr>
          <w:sz w:val="20"/>
        </w:rPr>
        <w:t>Coordinate with district education office for permanent teacher postings</w:t>
      </w:r>
    </w:p>
    <w:p/>
    <w:p/>
    <w:p>
      <w:pPr>
        <w:jc w:val="center"/>
      </w:pPr>
      <w:r>
        <w:rPr>
          <w:b w:val="0"/>
          <w:sz w:val="16"/>
        </w:rPr>
        <w:t>────────────────────────────────────────────────────────────────────────────────</w:t>
      </w:r>
    </w:p>
    <w:p>
      <w:pPr>
        <w:jc w:val="center"/>
      </w:pPr>
      <w:r>
        <w:rPr>
          <w:b w:val="0"/>
          <w:color w:val="888888"/>
          <w:sz w:val="18"/>
        </w:rPr>
        <w:t>Report Author: Field Team Lead, Odisha Relief Foundation</w:t>
      </w:r>
    </w:p>
    <w:p>
      <w:pPr>
        <w:jc w:val="center"/>
      </w:pPr>
      <w:r>
        <w:rPr>
          <w:b w:val="0"/>
          <w:color w:val="888888"/>
          <w:sz w:val="18"/>
        </w:rPr>
        <w:t>For volunteer deployment inquiries: volunteers@odisharelief.org</w:t>
      </w:r>
    </w:p>
    <w:p>
      <w:pPr>
        <w:jc w:val="center"/>
      </w:pPr>
      <w:r>
        <w:rPr>
          <w:b w:val="0"/>
          <w:color w:val="888888"/>
          <w:sz w:val="18"/>
        </w:rPr>
        <w:t>This document is for internal NGO use only. Do not distribute without permission.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