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4C5A"/>
          <w:sz w:val="44"/>
        </w:rPr>
        <w:t>Engineering handoff — Propharmex website</w:t>
      </w:r>
    </w:p>
    <w:p>
      <w:r>
        <w:rPr>
          <w:color w:val="1F2933"/>
          <w:sz w:val="22"/>
        </w:rPr>
        <w:t>This is the lightweight executive overview of the Propharmex website build. It is not an exhaustive spec — every claim cross-references an authoritative document elsewhere in this repository or in the running production environment. Treat this file as a map, not as territory.</w:t>
      </w:r>
    </w:p>
    <w:p>
      <w:r>
        <w:rPr>
          <w:color w:val="1F2933"/>
          <w:sz w:val="22"/>
        </w:rPr>
        <w:t>Editorial source of truth lives in this markdown file. The customer-facing .docx copy at docs/handoff.docx is regenerated from this file by scripts/generate-handoff-docx.py. Do not edit the .docx directly.</w:t>
      </w:r>
    </w:p>
    <w:p>
      <w:pPr>
        <w:pBdr>
          <w:bottom w:val="single" w:sz="6" w:space="1" w:color="D6D8DD"/>
        </w:pBdr>
      </w:pPr>
    </w:p>
    <w:p>
      <w:pPr>
        <w:pStyle w:val="Heading2"/>
      </w:pPr>
      <w:r>
        <w:rPr>
          <w:color w:val="0E4C5A"/>
          <w:sz w:val="32"/>
        </w:rPr>
        <w:t>1. Project summary</w:t>
      </w:r>
    </w:p>
    <w:p>
      <w:r>
        <w:rPr>
          <w:color w:val="1F2933"/>
          <w:sz w:val="22"/>
        </w:rPr>
        <w:t>Propharmex is a Canadian pharmaceutical services company anchored at its Mississauga, Ontario site under a Health Canada Drug Establishment Licence, with a development centre in Hyderabad, Telangana. This repository builds the public marketing website plus four AI-powered tools, designed to outperform competitor CDMO sites in information density, design sophistication, and demonstrable AI-assisted UX while remaining fully compliant with healthcare-marketing norms.</w:t>
      </w:r>
    </w:p>
    <w:p>
      <w:r>
        <w:rPr>
          <w:color w:val="1F2933"/>
          <w:sz w:val="22"/>
        </w:rPr>
        <w:t>Voice is anti-hype: expert, credible, humble, regulatory-precise. Tone, citations, and disclaimer rules are enforced at editorial gates before any user-facing string ships.</w:t>
      </w:r>
    </w:p>
    <w:p>
      <w:r>
        <w:rPr>
          <w:color w:val="1F2933"/>
          <w:sz w:val="22"/>
        </w:rPr>
        <w:t>The site is a Next.js 15 App Router monorepo. Content is authored in Sanity Studio v3. AI features are powered by the Vercel AI SDK with Anthropic Claude as the primary model. Hosting is on Vercel with ISR for content routes and edge runtime for AI endpoints.</w:t>
      </w:r>
    </w:p>
    <w:p>
      <w:pPr>
        <w:pBdr>
          <w:bottom w:val="single" w:sz="6" w:space="1" w:color="D6D8DD"/>
        </w:pBdr>
      </w:pPr>
    </w:p>
    <w:p>
      <w:pPr>
        <w:pStyle w:val="Heading2"/>
      </w:pPr>
      <w:r>
        <w:rPr>
          <w:color w:val="0E4C5A"/>
          <w:sz w:val="32"/>
        </w:rPr>
        <w:t>2. Tech stack</w:t>
      </w:r>
    </w:p>
    <w:tbl>
      <w:tblPr>
        <w:tblW w:type="auto" w:w="0"/>
        <w:jc w:val="left"/>
        <w:tblLayout w:type="autofit"/>
        <w:tblLook w:firstColumn="1" w:firstRow="1" w:lastColumn="0" w:lastRow="0" w:noHBand="0" w:noVBand="1" w:val="04A0"/>
      </w:tblPr>
      <w:tblGrid>
        <w:gridCol w:w="4824"/>
        <w:gridCol w:w="4824"/>
      </w:tblGrid>
      <w:tr>
        <w:tc>
          <w:tcPr>
            <w:tcW w:type="dxa" w:w="4824"/>
            <w:vAlign w:val="top"/>
            <w:tcBorders>
              <w:top w:val="single" w:sz="4" w:color="D6D8DD"/>
              <w:left w:val="single" w:sz="4" w:color="D6D8DD"/>
              <w:bottom w:val="single" w:sz="4" w:color="D6D8DD"/>
              <w:right w:val="single" w:sz="4" w:color="D6D8DD"/>
            </w:tcBorders>
            <w:shd w:val="clear" w:color="auto" w:fill="EBF4F6"/>
          </w:tcPr>
          <w:p>
            <w:r/>
            <w:r>
              <w:rPr>
                <w:b/>
                <w:color w:val="0E4C5A"/>
                <w:sz w:val="20"/>
              </w:rPr>
              <w:t>Layer</w:t>
            </w:r>
          </w:p>
        </w:tc>
        <w:tc>
          <w:tcPr>
            <w:tcW w:type="dxa" w:w="4824"/>
            <w:vAlign w:val="top"/>
            <w:tcBorders>
              <w:top w:val="single" w:sz="4" w:color="D6D8DD"/>
              <w:left w:val="single" w:sz="4" w:color="D6D8DD"/>
              <w:bottom w:val="single" w:sz="4" w:color="D6D8DD"/>
              <w:right w:val="single" w:sz="4" w:color="D6D8DD"/>
            </w:tcBorders>
            <w:shd w:val="clear" w:color="auto" w:fill="EBF4F6"/>
          </w:tcPr>
          <w:p>
            <w:r/>
            <w:r>
              <w:rPr>
                <w:b/>
                <w:color w:val="0E4C5A"/>
                <w:sz w:val="20"/>
              </w:rPr>
              <w:t>Choice</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Framework</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Next.js 15 App Router + React 19 + TypeScript strict</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Runtime</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Node 20</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Styling</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Tailwind CSS v4 with @theme tokens + @tailwindcss/typography</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Components</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shadcn/ui primitives + Framer Motion + bespoke design system</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CMS</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Sanity Studio v3 (project veo2rnkc, dataset production)</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Database</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Supabase Postgres with pgvector (project uvrgrulamuhwzuvbljbv)</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AI primary</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Vercel AI SDK + Anthropic Claude claude-sonnet-4-5-20250929</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AI embeddings</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OpenAI text-embedding-3-large</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AI fallback</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OpenAI GPT-4o</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Email</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Resend (transactional + double-opt-in newsletter)</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Booking</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Cal.com inline iframe (loading="lazy")</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Analytics</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Plausible + PostHog (referrer/device/utm super-properties)</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Bot defence</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Cloudflare Turnstile + Upstash Redis rate limit</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Observability</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Sentry v8 with PII redaction + Axiom structured logs</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Testing</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Vitest + Playwright + Lighthouse CI + axe-core CI</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Hosting</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Vercel (iad1), pnpm workspaces</w:t>
            </w:r>
          </w:p>
        </w:tc>
      </w:tr>
    </w:tbl>
    <w:p>
      <w:pPr>
        <w:pBdr>
          <w:bottom w:val="single" w:sz="6" w:space="1" w:color="D6D8DD"/>
        </w:pBdr>
      </w:pPr>
    </w:p>
    <w:p>
      <w:pPr>
        <w:pStyle w:val="Heading2"/>
      </w:pPr>
      <w:r>
        <w:rPr>
          <w:color w:val="0E4C5A"/>
          <w:sz w:val="32"/>
        </w:rPr>
        <w:t>3. What shipped (Phase 0–9)</w:t>
      </w:r>
    </w:p>
    <w:tbl>
      <w:tblPr>
        <w:tblW w:type="auto" w:w="0"/>
        <w:jc w:val="left"/>
        <w:tblLayout w:type="autofit"/>
        <w:tblLook w:firstColumn="1" w:firstRow="1" w:lastColumn="0" w:lastRow="0" w:noHBand="0" w:noVBand="1" w:val="04A0"/>
      </w:tblPr>
      <w:tblGrid>
        <w:gridCol w:w="3216"/>
        <w:gridCol w:w="3216"/>
        <w:gridCol w:w="3216"/>
      </w:tblGrid>
      <w:tr>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Phase</w:t>
            </w:r>
          </w:p>
        </w:tc>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Scope</w:t>
            </w:r>
          </w:p>
        </w:tc>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Status</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0 — Foundation</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CLAUDE.md, twelve project skills, docs scaffold, env spec</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Done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1 — Alignment</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12-bullet product summary, page list, AI feature mapping</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Done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2 — Scaffold + design system</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Next.js + Tailwind + shadcn baseline, Storybook, tokens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Done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3 — Shell + CMS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Header, Footer, Sanity Studio, GROQ helpers, draft mode</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Done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4 — Core pages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Home, Why Propharmex, About, Quality, Facilities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Done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5 — Service + industry trees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All service leaves, industry pages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Done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6 — Case studies + insights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Hub plus three seeded studies, one whitepaper download</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Done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7 — Process + contact + AI tools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Concierge, Scoping, DEL Readiness, Dosage Matcher</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Done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8 — SEO + analytics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Sitemap, robots, PostHog taxonomy; retired region middleware</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Done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9 — Hardening</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CSP, Sentry, Turnstile, bundle budget, axe-core, ACR, runbook</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Done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10 — Handoff + launch</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Prompt 27 deliverables, smoke suite, 301 map, v1.0.0 tag</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In progress</w:t>
            </w:r>
          </w:p>
        </w:tc>
      </w:tr>
    </w:tbl>
    <w:p>
      <w:pPr>
        <w:pBdr>
          <w:bottom w:val="single" w:sz="6" w:space="1" w:color="D6D8DD"/>
        </w:pBdr>
      </w:pPr>
    </w:p>
    <w:p>
      <w:pPr>
        <w:pStyle w:val="Heading2"/>
      </w:pPr>
      <w:r>
        <w:rPr>
          <w:color w:val="0E4C5A"/>
          <w:sz w:val="32"/>
        </w:rPr>
        <w:t>4. Page inventory</w:t>
      </w:r>
    </w:p>
    <w:tbl>
      <w:tblPr>
        <w:tblW w:type="auto" w:w="0"/>
        <w:jc w:val="left"/>
        <w:tblLayout w:type="autofit"/>
        <w:tblLook w:firstColumn="1" w:firstRow="1" w:lastColumn="0" w:lastRow="0" w:noHBand="0" w:noVBand="1" w:val="04A0"/>
      </w:tblPr>
      <w:tblGrid>
        <w:gridCol w:w="2412"/>
        <w:gridCol w:w="2412"/>
        <w:gridCol w:w="2412"/>
        <w:gridCol w:w="2412"/>
      </w:tblGrid>
      <w:tr>
        <w:tc>
          <w:tcPr>
            <w:tcW w:type="dxa" w:w="2412"/>
            <w:vAlign w:val="top"/>
            <w:tcBorders>
              <w:top w:val="single" w:sz="4" w:color="D6D8DD"/>
              <w:left w:val="single" w:sz="4" w:color="D6D8DD"/>
              <w:bottom w:val="single" w:sz="4" w:color="D6D8DD"/>
              <w:right w:val="single" w:sz="4" w:color="D6D8DD"/>
            </w:tcBorders>
            <w:shd w:val="clear" w:color="auto" w:fill="EBF4F6"/>
          </w:tcPr>
          <w:p>
            <w:r/>
            <w:r>
              <w:rPr>
                <w:b/>
                <w:color w:val="0E4C5A"/>
                <w:sz w:val="20"/>
              </w:rPr>
              <w:t>Route</w:t>
            </w:r>
          </w:p>
        </w:tc>
        <w:tc>
          <w:tcPr>
            <w:tcW w:type="dxa" w:w="2412"/>
            <w:vAlign w:val="top"/>
            <w:tcBorders>
              <w:top w:val="single" w:sz="4" w:color="D6D8DD"/>
              <w:left w:val="single" w:sz="4" w:color="D6D8DD"/>
              <w:bottom w:val="single" w:sz="4" w:color="D6D8DD"/>
              <w:right w:val="single" w:sz="4" w:color="D6D8DD"/>
            </w:tcBorders>
            <w:shd w:val="clear" w:color="auto" w:fill="EBF4F6"/>
          </w:tcPr>
          <w:p>
            <w:r/>
            <w:r>
              <w:rPr>
                <w:b/>
                <w:color w:val="0E4C5A"/>
                <w:sz w:val="20"/>
              </w:rPr>
              <w:t>Type</w:t>
            </w:r>
          </w:p>
        </w:tc>
        <w:tc>
          <w:tcPr>
            <w:tcW w:type="dxa" w:w="2412"/>
            <w:vAlign w:val="top"/>
            <w:tcBorders>
              <w:top w:val="single" w:sz="4" w:color="D6D8DD"/>
              <w:left w:val="single" w:sz="4" w:color="D6D8DD"/>
              <w:bottom w:val="single" w:sz="4" w:color="D6D8DD"/>
              <w:right w:val="single" w:sz="4" w:color="D6D8DD"/>
            </w:tcBorders>
            <w:shd w:val="clear" w:color="auto" w:fill="EBF4F6"/>
          </w:tcPr>
          <w:p>
            <w:r/>
            <w:r>
              <w:rPr>
                <w:b/>
                <w:color w:val="0E4C5A"/>
                <w:sz w:val="20"/>
              </w:rPr>
              <w:t>Sanity-backed</w:t>
            </w:r>
          </w:p>
        </w:tc>
        <w:tc>
          <w:tcPr>
            <w:tcW w:type="dxa" w:w="2412"/>
            <w:vAlign w:val="top"/>
            <w:tcBorders>
              <w:top w:val="single" w:sz="4" w:color="D6D8DD"/>
              <w:left w:val="single" w:sz="4" w:color="D6D8DD"/>
              <w:bottom w:val="single" w:sz="4" w:color="D6D8DD"/>
              <w:right w:val="single" w:sz="4" w:color="D6D8DD"/>
            </w:tcBorders>
            <w:shd w:val="clear" w:color="auto" w:fill="EBF4F6"/>
          </w:tcPr>
          <w:p>
            <w:r/>
            <w:r>
              <w:rPr>
                <w:b/>
                <w:color w:val="0E4C5A"/>
                <w:sz w:val="20"/>
              </w:rPr>
              <w:t>Notes</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Home</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Region-aware hero ordering</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/why-propharmex</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Marketing</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Anti-hype proof points</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/about</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Marketing</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Canadian anchor narrative</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/about/leadership</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Marketing</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Leadership grid</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/quality-compliance</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Marketing</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Region-aware certs ordering</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/quality</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Redirect</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No</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Legacy slug; 301 to /quality-compliance</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/facilities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Marketing</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Mississauga + Hyderabad cards</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/facilities/mississauga-canada</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Detail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DEL anchor site</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/facilities/hyderabad-india</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Detail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Development centre</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/services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Hub</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Service tree root</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/services/pharmaceutical-development/[dosageForm]</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Detail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7 dosage forms</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/services/analytical-services/[service]</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Detail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7 analytical services</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/services/regulatory-services/[service]</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Detail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5 regulatory services</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/industries/[slug]</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Detail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5 industry segments</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/case-studies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Hub</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Anonymized client work</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/case-studies/[slug]</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Detail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Problem-Approach-Solution-Result</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/insights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Hub</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Articles + whitepapers</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/insights/[slug]</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Article</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Long-form thought leadership</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/insights/whitepapers/[slug]</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Whitepaper</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Route scaffold; no live slug while INSIGHTS.whitepapers is empty</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/our-process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Marketing</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Engagement workflow</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/contact</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Form</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Partial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Inquiry form + Cal.com + dual addresses</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/ai/concierge</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Implicit</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No</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Always-mounted bubble; no standalone route</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/ai/project-scoping-assistant</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AI tool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No</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Conversational scope intake</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/ai/del-readiness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AI tool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No</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Multi-step DEL gap assessment</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/ai/dosage-matcher</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AI tool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No</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Hybrid-score formulation match</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/accessibility</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Statement</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Yes</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Public accessibility statement</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/sitemap.xml</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Generated</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No</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51 URLs</w:t>
            </w:r>
          </w:p>
        </w:tc>
      </w:tr>
      <w:tr>
        <w:tc>
          <w:tcPr>
            <w:tcW w:type="dxa" w:w="2412"/>
            <w:vAlign w:val="top"/>
            <w:tcBorders>
              <w:top w:val="single" w:sz="4" w:color="D6D8DD"/>
              <w:left w:val="single" w:sz="4" w:color="D6D8DD"/>
              <w:bottom w:val="single" w:sz="4" w:color="D6D8DD"/>
              <w:right w:val="single" w:sz="4" w:color="D6D8DD"/>
            </w:tcBorders>
          </w:tcPr>
          <w:p>
            <w:r/>
            <w:r>
              <w:rPr>
                <w:color w:val="1F2933"/>
                <w:sz w:val="20"/>
              </w:rPr>
              <w:t>/robots.txt</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Generated</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No</w:t>
            </w:r>
          </w:p>
        </w:tc>
        <w:tc>
          <w:tcPr>
            <w:tcW w:type="dxa" w:w="2412"/>
            <w:vAlign w:val="top"/>
            <w:tcBorders>
              <w:top w:val="single" w:sz="4" w:color="D6D8DD"/>
              <w:left w:val="single" w:sz="4" w:color="D6D8DD"/>
              <w:bottom w:val="single" w:sz="4" w:color="D6D8DD"/>
              <w:right w:val="single" w:sz="4" w:color="D6D8DD"/>
            </w:tcBorders>
          </w:tcPr>
          <w:p>
            <w:r/>
            <w:r>
              <w:rPr>
                <w:color w:val="1F2933"/>
                <w:sz w:val="20"/>
              </w:rPr>
              <w:t>15 user-agents</w:t>
            </w:r>
          </w:p>
        </w:tc>
      </w:tr>
    </w:tbl>
    <w:p>
      <w:pPr>
        <w:pBdr>
          <w:bottom w:val="single" w:sz="6" w:space="1" w:color="D6D8DD"/>
        </w:pBdr>
      </w:pPr>
    </w:p>
    <w:p>
      <w:pPr>
        <w:pStyle w:val="Heading2"/>
      </w:pPr>
      <w:r>
        <w:rPr>
          <w:color w:val="0E4C5A"/>
          <w:sz w:val="32"/>
        </w:rPr>
        <w:t>5. AI tools quartet</w:t>
      </w:r>
    </w:p>
    <w:p>
      <w:r>
        <w:rPr>
          <w:color w:val="1F2933"/>
          <w:sz w:val="22"/>
        </w:rPr>
        <w:t>All four AI surfaces share the same defensive posture: rate-limited via Upstash Redis, PII-redacted on inbound user text, telemetry namespaced per-tool in PostHog, and gated by a 503 fallback when ANTHROPIC_API_KEY is unset.</w:t>
      </w:r>
    </w:p>
    <w:p>
      <w:r>
        <w:rPr>
          <w:color w:val="1F2933"/>
          <w:sz w:val="22"/>
        </w:rPr>
        <w:t>Concierge — site-wide floating chat bubble. Dynamic-imported on first open so ai/react does not ship in the global bundle. Streams answers grounded in Sanity content via a RAG pipeline (Sanity → embeddings → pgvector → retrieve). Citations and per-message disclaimer arrive via SDK message annotations. Endpoint: POST /api/ai/concierge. Telemetry namespace: concierge.*.</w:t>
      </w:r>
    </w:p>
    <w:p>
      <w:r>
        <w:rPr>
          <w:color w:val="1F2933"/>
          <w:sz w:val="22"/>
        </w:rPr>
        <w:t>Project Scoping Assistant — full-page conversational intake at /ai/project-scoping-assistant. First tool-calling consumer in the codebase. The model exposes one tool, proposeScope, whose Zod-validated args populate an editable preview card. Submit emails Business Development via Resend; Download produces a branded PDF via pdf-lib at runtime. Surface code-split via ScopingSurfaceLoader. Endpoint: POST /api/ai/scoping. Telemetry: scoping.*.</w:t>
      </w:r>
    </w:p>
    <w:p>
      <w:r>
        <w:rPr>
          <w:color w:val="1F2933"/>
          <w:sz w:val="22"/>
        </w:rPr>
        <w:t>DEL Readiness Assessment — multi-step gap-analysis form at /ai/del-readiness. First deterministic-score tool: a 25-question form drives a rules-based readiness score, then Claude synthesises a narrative. Hand-rolled stream parser reads frame 8: annotations (no ai/react import). Endpoint: POST /api/ai/del-readiness. Telemetry: del.*.</w:t>
      </w:r>
    </w:p>
    <w:p>
      <w:r>
        <w:rPr>
          <w:color w:val="1F2933"/>
          <w:sz w:val="22"/>
        </w:rPr>
        <w:t>Dosage Form Matcher — hybrid-score recommender at /ai/dosage-matcher. Combines deterministic feature matching with Claude-authored rationale text. Same hand-rolled stream pattern as DEL. Endpoint: POST /api/ai/dosage-matcher. Telemetry: dosage.*.</w:t>
      </w:r>
    </w:p>
    <w:p>
      <w:pPr>
        <w:pBdr>
          <w:bottom w:val="single" w:sz="6" w:space="1" w:color="D6D8DD"/>
        </w:pBdr>
      </w:pPr>
    </w:p>
    <w:p>
      <w:pPr>
        <w:pStyle w:val="Heading2"/>
      </w:pPr>
      <w:r>
        <w:rPr>
          <w:color w:val="0E4C5A"/>
          <w:sz w:val="32"/>
        </w:rPr>
        <w:t>6. Operations and runbooks</w:t>
      </w:r>
    </w:p>
    <w:tbl>
      <w:tblPr>
        <w:tblW w:type="auto" w:w="0"/>
        <w:jc w:val="left"/>
        <w:tblLayout w:type="autofit"/>
        <w:tblLook w:firstColumn="1" w:firstRow="1" w:lastColumn="0" w:lastRow="0" w:noHBand="0" w:noVBand="1" w:val="04A0"/>
      </w:tblPr>
      <w:tblGrid>
        <w:gridCol w:w="4824"/>
        <w:gridCol w:w="4824"/>
      </w:tblGrid>
      <w:tr>
        <w:tc>
          <w:tcPr>
            <w:tcW w:type="dxa" w:w="4824"/>
            <w:vAlign w:val="top"/>
            <w:tcBorders>
              <w:top w:val="single" w:sz="4" w:color="D6D8DD"/>
              <w:left w:val="single" w:sz="4" w:color="D6D8DD"/>
              <w:bottom w:val="single" w:sz="4" w:color="D6D8DD"/>
              <w:right w:val="single" w:sz="4" w:color="D6D8DD"/>
            </w:tcBorders>
            <w:shd w:val="clear" w:color="auto" w:fill="EBF4F6"/>
          </w:tcPr>
          <w:p>
            <w:r/>
            <w:r>
              <w:rPr>
                <w:b/>
                <w:color w:val="0E4C5A"/>
                <w:sz w:val="20"/>
              </w:rPr>
              <w:t>Topic</w:t>
            </w:r>
          </w:p>
        </w:tc>
        <w:tc>
          <w:tcPr>
            <w:tcW w:type="dxa" w:w="4824"/>
            <w:vAlign w:val="top"/>
            <w:tcBorders>
              <w:top w:val="single" w:sz="4" w:color="D6D8DD"/>
              <w:left w:val="single" w:sz="4" w:color="D6D8DD"/>
              <w:bottom w:val="single" w:sz="4" w:color="D6D8DD"/>
              <w:right w:val="single" w:sz="4" w:color="D6D8DD"/>
            </w:tcBorders>
            <w:shd w:val="clear" w:color="auto" w:fill="EBF4F6"/>
          </w:tcPr>
          <w:p>
            <w:r/>
            <w:r>
              <w:rPr>
                <w:b/>
                <w:color w:val="0E4C5A"/>
                <w:sz w:val="20"/>
              </w:rPr>
              <w:t>Authoritative document</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Architecture overview</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docs/architecture.md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Operational runbook (deploy, rollback, incident ladder, CSP triage, Sentry triage, vendor outage playbooks)</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docs/runbook.md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Accessibility conformance report (VPAT 2.5)</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docs/accessibility-conformance.md plus docs/accessibility-conformance.docx</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Manual assistive-tech test plan</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docs/accessibility-at-test-plan.md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Analytics event taxonomy and super-properties</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docs/analytics-taxonomy.md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SEO playbook</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docs/seo-playbook.md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Brand voice rules</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docs/brand-voice.md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Editorial style guide</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docs/content-style-guide.md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Regulatory lexicon</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docs/regulatory-lexicon.md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Canadian-anchor positioning</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docs/positioning-canadian-anchor.md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Phase roadmap</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docs/phase-roadmap.md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Design system overview</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docs/design-system.mdx</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Per-component documentation</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docs/design-system/components/\*.mdx (19 components)</w:t>
            </w:r>
          </w:p>
        </w:tc>
      </w:tr>
    </w:tbl>
    <w:p>
      <w:pPr>
        <w:pBdr>
          <w:bottom w:val="single" w:sz="6" w:space="1" w:color="D6D8DD"/>
        </w:pBdr>
      </w:pPr>
    </w:p>
    <w:p>
      <w:pPr>
        <w:pStyle w:val="Heading2"/>
      </w:pPr>
      <w:r>
        <w:rPr>
          <w:color w:val="0E4C5A"/>
          <w:sz w:val="32"/>
        </w:rPr>
        <w:t>7. CI gates</w:t>
      </w:r>
    </w:p>
    <w:tbl>
      <w:tblPr>
        <w:tblW w:type="auto" w:w="0"/>
        <w:jc w:val="left"/>
        <w:tblLayout w:type="autofit"/>
        <w:tblLook w:firstColumn="1" w:firstRow="1" w:lastColumn="0" w:lastRow="0" w:noHBand="0" w:noVBand="1" w:val="04A0"/>
      </w:tblPr>
      <w:tblGrid>
        <w:gridCol w:w="3216"/>
        <w:gridCol w:w="3216"/>
        <w:gridCol w:w="3216"/>
      </w:tblGrid>
      <w:tr>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Gate</w:t>
            </w:r>
          </w:p>
        </w:tc>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Workflow</w:t>
            </w:r>
          </w:p>
        </w:tc>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What it enforces</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Lint, typecheck, test, build</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.github/workflows/ci.yml</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Standard validation across the monorepo</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Storybook build</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.github/workflows/ci.yml</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Component library compiles cleanly</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Lighthouse CI</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.github/workflows/lighthouse.yml</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CWV budgets — perf warn 0.90, LCP warn 2500ms, CLS / TBT / FCP error</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Bundle budget</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.github/workflows/bundle-budget.yml</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First-Load JS at most 350 kB per route, excluding API, dashboard, Studio, and image-generation routes</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Axe-core a11y</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.github/workflows/a11y-budget.yml</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Zero serious or critical violations across 11 sampled URLs</w:t>
            </w:r>
          </w:p>
        </w:tc>
      </w:tr>
    </w:tbl>
    <w:p>
      <w:r>
        <w:rPr>
          <w:color w:val="1F2933"/>
          <w:sz w:val="22"/>
        </w:rPr>
        <w:t>The bundle budget was ratcheted from 475 kB to 450 kB after the AI surface dynamic-import work, then to 380 kB after the PDF subpath import cleanup removed pdf-lib from the Dosage Matcher and DEL Readiness client route chunks. A follow-up homepage shared-chunk pass kept draft-only visual editing behind a draft-mode import and removed Framer Motion from the site-wide Concierge launcher. The June 2026 homepage motion/component audit then moved static homepage sections out of client islands, split hero CTA analytics into a small client component, and replaced the process scroll animation with a server-rendered timeline. / now measures 346 kB First-Load JS, so the CI budget is ratcheted to 350 kB.</w:t>
      </w:r>
    </w:p>
    <w:p>
      <w:pPr>
        <w:pBdr>
          <w:bottom w:val="single" w:sz="6" w:space="1" w:color="D6D8DD"/>
        </w:pBdr>
      </w:pPr>
    </w:p>
    <w:p>
      <w:pPr>
        <w:pStyle w:val="Heading2"/>
      </w:pPr>
      <w:r>
        <w:rPr>
          <w:color w:val="0E4C5A"/>
          <w:sz w:val="32"/>
        </w:rPr>
        <w:t>8. Known follow-ups (post-launch backlog)</w:t>
      </w:r>
    </w:p>
    <w:p>
      <w:r>
        <w:rPr>
          <w:color w:val="1F2933"/>
          <w:sz w:val="22"/>
        </w:rPr>
        <w:t>These are tracked but intentionally out of scope for the v1.0.0 launch.</w:t>
      </w:r>
    </w:p>
    <w:p>
      <w:pPr>
        <w:pStyle w:val="ListBullet"/>
      </w:pPr>
      <w:r>
        <w:rPr>
          <w:color w:val="1F2933"/>
          <w:sz w:val="22"/>
        </w:rPr>
        <w:t>Promote Lighthouse categories:accessibility warn to error 1.0 after the manual VoiceOver and NVDA assistive-tech pass per docs/accessibility-at-test-plan.md.</w:t>
      </w:r>
    </w:p>
    <w:p>
      <w:pPr>
        <w:pStyle w:val="ListBullet"/>
      </w:pPr>
      <w:r>
        <w:rPr>
          <w:color w:val="1F2933"/>
          <w:sz w:val="22"/>
        </w:rPr>
        <w:t>Add /insights/whitepapers/[slug] to the axe URL list after a live whitepaper slug returns to INSIGHTS.whitepapers.</w:t>
      </w:r>
    </w:p>
    <w:p>
      <w:pPr>
        <w:pStyle w:val="ListBullet"/>
      </w:pPr>
      <w:r>
        <w:rPr>
          <w:color w:val="1F2933"/>
          <w:sz w:val="22"/>
        </w:rPr>
        <w:t>Build the three PostHog dashboards in the PostHog UI per docs/posthog-dashboard-build-sheet.md (Lead funnel, AI tool conversion, Content performance). The earlier Region breakdown dashboard is retired with the region middleware.</w:t>
      </w:r>
    </w:p>
    <w:p>
      <w:pPr>
        <w:pBdr>
          <w:bottom w:val="single" w:sz="6" w:space="1" w:color="D6D8DD"/>
        </w:pBdr>
      </w:pPr>
    </w:p>
    <w:p>
      <w:pPr>
        <w:pStyle w:val="Heading2"/>
      </w:pPr>
      <w:r>
        <w:rPr>
          <w:color w:val="0E4C5A"/>
          <w:sz w:val="32"/>
        </w:rPr>
        <w:t>9. Repository entry points</w:t>
      </w:r>
    </w:p>
    <w:p>
      <w:r>
        <w:rPr>
          <w:color w:val="1F2933"/>
          <w:sz w:val="22"/>
        </w:rPr>
        <w:t>For a new engineer, these are the most useful files to read first.</w:t>
      </w:r>
    </w:p>
    <w:tbl>
      <w:tblPr>
        <w:tblW w:type="auto" w:w="0"/>
        <w:jc w:val="left"/>
        <w:tblLayout w:type="autofit"/>
        <w:tblLook w:firstColumn="1" w:firstRow="1" w:lastColumn="0" w:lastRow="0" w:noHBand="0" w:noVBand="1" w:val="04A0"/>
      </w:tblPr>
      <w:tblGrid>
        <w:gridCol w:w="4824"/>
        <w:gridCol w:w="4824"/>
      </w:tblGrid>
      <w:tr>
        <w:tc>
          <w:tcPr>
            <w:tcW w:type="dxa" w:w="4824"/>
            <w:vAlign w:val="top"/>
            <w:tcBorders>
              <w:top w:val="single" w:sz="4" w:color="D6D8DD"/>
              <w:left w:val="single" w:sz="4" w:color="D6D8DD"/>
              <w:bottom w:val="single" w:sz="4" w:color="D6D8DD"/>
              <w:right w:val="single" w:sz="4" w:color="D6D8DD"/>
            </w:tcBorders>
            <w:shd w:val="clear" w:color="auto" w:fill="EBF4F6"/>
          </w:tcPr>
          <w:p>
            <w:r/>
            <w:r>
              <w:rPr>
                <w:b/>
                <w:color w:val="0E4C5A"/>
                <w:sz w:val="20"/>
              </w:rPr>
              <w:t>Goal</w:t>
            </w:r>
          </w:p>
        </w:tc>
        <w:tc>
          <w:tcPr>
            <w:tcW w:type="dxa" w:w="4824"/>
            <w:vAlign w:val="top"/>
            <w:tcBorders>
              <w:top w:val="single" w:sz="4" w:color="D6D8DD"/>
              <w:left w:val="single" w:sz="4" w:color="D6D8DD"/>
              <w:bottom w:val="single" w:sz="4" w:color="D6D8DD"/>
              <w:right w:val="single" w:sz="4" w:color="D6D8DD"/>
            </w:tcBorders>
            <w:shd w:val="clear" w:color="auto" w:fill="EBF4F6"/>
          </w:tcPr>
          <w:p>
            <w:r/>
            <w:r>
              <w:rPr>
                <w:b/>
                <w:color w:val="0E4C5A"/>
                <w:sz w:val="20"/>
              </w:rPr>
              <w:t>Start at</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Understand workflow rules</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CLAUDE.md (project root)</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Understand the build phases</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docs/phase-roadmap.md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Run the site locally</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apps/web/README.md</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Modify a page</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apps/web/app/&lt;route&gt;/page.tsx</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Add a content type</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packages/lib/sanity/schemas/ + apps/web/sanity/schemas/ (Studio is embedded at /studio inside apps/web — see PR-L′)</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Modify a component</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packages/ui/components/ + matching docs/design-system/components/&lt;X&gt;.mdx</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Touch an AI endpoint</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apps/web/app/api/ai/&lt;tool&gt;/route.ts</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Add a database migration</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supabase/migrations/ + apply via Supabase MCP</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Adjust a CI gate</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.github/workflows/ + scripts/check-\*.mjs</w:t>
            </w:r>
          </w:p>
        </w:tc>
      </w:tr>
      <w:tr>
        <w:tc>
          <w:tcPr>
            <w:tcW w:type="dxa" w:w="4824"/>
            <w:vAlign w:val="top"/>
            <w:tcBorders>
              <w:top w:val="single" w:sz="4" w:color="D6D8DD"/>
              <w:left w:val="single" w:sz="4" w:color="D6D8DD"/>
              <w:bottom w:val="single" w:sz="4" w:color="D6D8DD"/>
              <w:right w:val="single" w:sz="4" w:color="D6D8DD"/>
            </w:tcBorders>
          </w:tcPr>
          <w:p>
            <w:r/>
            <w:r>
              <w:rPr>
                <w:color w:val="1F2933"/>
                <w:sz w:val="20"/>
              </w:rPr>
              <w:t>Triage a production incident</w:t>
            </w:r>
          </w:p>
        </w:tc>
        <w:tc>
          <w:tcPr>
            <w:tcW w:type="dxa" w:w="4824"/>
            <w:vAlign w:val="top"/>
            <w:tcBorders>
              <w:top w:val="single" w:sz="4" w:color="D6D8DD"/>
              <w:left w:val="single" w:sz="4" w:color="D6D8DD"/>
              <w:bottom w:val="single" w:sz="4" w:color="D6D8DD"/>
              <w:right w:val="single" w:sz="4" w:color="D6D8DD"/>
            </w:tcBorders>
          </w:tcPr>
          <w:p>
            <w:r/>
            <w:r>
              <w:rPr>
                <w:color w:val="1F2933"/>
                <w:sz w:val="20"/>
              </w:rPr>
              <w:t>docs/runbook.md (15 sections)</w:t>
            </w:r>
          </w:p>
        </w:tc>
      </w:tr>
    </w:tbl>
    <w:p>
      <w:pPr>
        <w:pBdr>
          <w:bottom w:val="single" w:sz="6" w:space="1" w:color="D6D8DD"/>
        </w:pBdr>
      </w:pPr>
    </w:p>
    <w:p>
      <w:pPr>
        <w:pStyle w:val="Heading2"/>
      </w:pPr>
      <w:r>
        <w:rPr>
          <w:color w:val="0E4C5A"/>
          <w:sz w:val="32"/>
        </w:rPr>
        <w:t>10. Handoff next steps</w:t>
      </w:r>
    </w:p>
    <w:p>
      <w:r>
        <w:rPr>
          <w:color w:val="1F2933"/>
          <w:sz w:val="22"/>
        </w:rPr>
        <w:t>Items that require action outside of the codebase before launch.</w:t>
      </w:r>
    </w:p>
    <w:tbl>
      <w:tblPr>
        <w:tblW w:type="auto" w:w="0"/>
        <w:jc w:val="left"/>
        <w:tblLayout w:type="autofit"/>
        <w:tblLook w:firstColumn="1" w:firstRow="1" w:lastColumn="0" w:lastRow="0" w:noHBand="0" w:noVBand="1" w:val="04A0"/>
      </w:tblPr>
      <w:tblGrid>
        <w:gridCol w:w="3216"/>
        <w:gridCol w:w="3216"/>
        <w:gridCol w:w="3216"/>
      </w:tblGrid>
      <w:tr>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Action</w:t>
            </w:r>
          </w:p>
        </w:tc>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Owner</w:t>
            </w:r>
          </w:p>
        </w:tc>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Notes</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DNS cutover from legacy host to Vercel</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Operations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Coordinate apex plus www records</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TLS certificate active on apex and www</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Operations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Vercel automatic; verify before announce</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301 redirect map from legacy URLs deployed</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Engineering</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Source list pending from operations</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Sitemap submitted to Google Search Console and Bing Webmaster Tools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SEO</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After production deploy</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Manual VoiceOver and NVDA assistive-tech pass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Accessibility lead</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Per docs/accessibility-at-test-plan.md</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PostHog dashboards built in UI</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Product</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Per docs/posthog-dashboard-build-sheet.md</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Resend production sender domain verified</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Operations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DKIM and SPF records</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Sentry production source maps uploaded</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Engineering</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Verified on first production deploy</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Cal.com production link configured</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Operations</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Set CAL_LINK environment variable</w:t>
            </w:r>
          </w:p>
        </w:tc>
      </w:tr>
    </w:tbl>
    <w:p>
      <w:pPr>
        <w:pBdr>
          <w:bottom w:val="single" w:sz="6" w:space="1" w:color="D6D8DD"/>
        </w:pBdr>
      </w:pPr>
    </w:p>
    <w:p>
      <w:pPr>
        <w:pStyle w:val="Heading2"/>
      </w:pPr>
      <w:r>
        <w:rPr>
          <w:color w:val="0E4C5A"/>
          <w:sz w:val="32"/>
        </w:rPr>
        <w:t>11. Revision history</w:t>
      </w:r>
    </w:p>
    <w:tbl>
      <w:tblPr>
        <w:tblW w:type="auto" w:w="0"/>
        <w:jc w:val="left"/>
        <w:tblLayout w:type="autofit"/>
        <w:tblLook w:firstColumn="1" w:firstRow="1" w:lastColumn="0" w:lastRow="0" w:noHBand="0" w:noVBand="1" w:val="04A0"/>
      </w:tblPr>
      <w:tblGrid>
        <w:gridCol w:w="3216"/>
        <w:gridCol w:w="3216"/>
        <w:gridCol w:w="3216"/>
      </w:tblGrid>
      <w:tr>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Date</w:t>
            </w:r>
          </w:p>
        </w:tc>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Change</w:t>
            </w:r>
          </w:p>
        </w:tc>
        <w:tc>
          <w:tcPr>
            <w:tcW w:type="dxa" w:w="3216"/>
            <w:vAlign w:val="top"/>
            <w:tcBorders>
              <w:top w:val="single" w:sz="4" w:color="D6D8DD"/>
              <w:left w:val="single" w:sz="4" w:color="D6D8DD"/>
              <w:bottom w:val="single" w:sz="4" w:color="D6D8DD"/>
              <w:right w:val="single" w:sz="4" w:color="D6D8DD"/>
            </w:tcBorders>
            <w:shd w:val="clear" w:color="auto" w:fill="EBF4F6"/>
          </w:tcPr>
          <w:p>
            <w:r/>
            <w:r>
              <w:rPr>
                <w:b/>
                <w:color w:val="0E4C5A"/>
                <w:sz w:val="20"/>
              </w:rPr>
              <w:t>Pull request</w:t>
            </w:r>
          </w:p>
        </w:tc>
      </w:tr>
      <w:tr>
        <w:tc>
          <w:tcPr>
            <w:tcW w:type="dxa" w:w="3216"/>
            <w:vAlign w:val="top"/>
            <w:tcBorders>
              <w:top w:val="single" w:sz="4" w:color="D6D8DD"/>
              <w:left w:val="single" w:sz="4" w:color="D6D8DD"/>
              <w:bottom w:val="single" w:sz="4" w:color="D6D8DD"/>
              <w:right w:val="single" w:sz="4" w:color="D6D8DD"/>
            </w:tcBorders>
          </w:tcPr>
          <w:p>
            <w:r/>
            <w:r>
              <w:rPr>
                <w:color w:val="1F2933"/>
                <w:sz w:val="20"/>
              </w:rPr>
              <w:t>2026-04-30</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Initial handoff document for v1.0.0 launch</w:t>
            </w:r>
          </w:p>
        </w:tc>
        <w:tc>
          <w:tcPr>
            <w:tcW w:type="dxa" w:w="3216"/>
            <w:vAlign w:val="top"/>
            <w:tcBorders>
              <w:top w:val="single" w:sz="4" w:color="D6D8DD"/>
              <w:left w:val="single" w:sz="4" w:color="D6D8DD"/>
              <w:bottom w:val="single" w:sz="4" w:color="D6D8DD"/>
              <w:right w:val="single" w:sz="4" w:color="D6D8DD"/>
            </w:tcBorders>
          </w:tcPr>
          <w:p>
            <w:r/>
            <w:r>
              <w:rPr>
                <w:color w:val="1F2933"/>
                <w:sz w:val="20"/>
              </w:rPr>
              <w:t>Pending</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