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Propharmex — company overview</w:t>
      </w:r>
    </w:p>
    <w:p>
      <w:pPr>
        <w:pStyle w:val="Heading1"/>
      </w:pPr>
      <w:r>
        <w:t xml:space="preserve">Two cities. One quality system. No handoffs between us.</w:t>
      </w:r>
    </w:p>
    <w:p>
      <w:pPr>
        <w:spacing w:after="120"/>
      </w:pPr>
      <w:r>
        <w:t xml:space="preserve">Propharmex was founded to close one specific gap — a Canadian-anchored regulatory posture with Indian analytical and manufacturing depth, run as a single team under a single quality manual.</w:t>
      </w:r>
    </w:p>
    <w:p>
      <w:pPr>
        <w:spacing w:after="100"/>
      </w:pPr>
      <w:r>
        <w:t xml:space="preserve">The trigger was a pattern we saw repeatedly across complex-generic and specialty-dosage programs — six or more independent vendors stitched together by overnight emails, and timelines that doubled every time a deviation crossed a contract boundary.</w:t>
      </w:r>
    </w:p>
    <w:p>
      <w:pPr>
        <w:spacing w:after="100"/>
      </w:pPr>
      <w:r>
        <w:t xml:space="preserve">Mississauga gave us the regulatory anchor — a Health Canada Drug Establishment Licence and the 3PL to import, release, and distribute finished product into Canada, the US, and the Caribbean. Hyderabad gave us the analytical bench and the dosage-form depth at a cost and cadence that keep complex-generic programs viable.</w:t>
      </w:r>
    </w:p>
    <w:p>
      <w:pPr>
        <w:spacing w:after="100"/>
      </w:pPr>
      <w:r>
        <w:t xml:space="preserve">What makes it work is not geography. It is one CTMS, one change-control process, one named principal per engagement — and a deliberately boring handover cadence tuned to the 2.5-hour daylight overlap between Ontario and Telangana.</w:t>
      </w:r>
    </w:p>
    <w:p>
      <w:pPr>
        <w:pStyle w:val="Heading2"/>
      </w:pPr>
      <w:r>
        <w:t xml:space="preserve">Mission</w:t>
      </w:r>
    </w:p>
    <w:p>
      <w:r>
        <w:t xml:space="preserve">Make complex-generic and specialty-dosage development faster and more predictable by running development, analytical, regulatory, and distribution as one team under one quality system.</w:t>
      </w:r>
    </w:p>
    <w:p>
      <w:pPr>
        <w:pStyle w:val="Heading2"/>
      </w:pPr>
      <w:r>
        <w:t xml:space="preserve">Vision</w:t>
      </w:r>
    </w:p>
    <w:p>
      <w:r>
        <w:t xml:space="preserve">Be the correct CDMO for the product profiles where the Canada–India bridge is the right structural answer — complex generics, modified-release orals, lyophilized sterile injectables, and dissolution-sensitive semi-solids.</w:t>
      </w:r>
    </w:p>
    <w:p>
      <w:pPr>
        <w:pStyle w:val="Heading2"/>
      </w:pPr>
      <w:r>
        <w:t xml:space="preserve">Values</w:t>
      </w:r>
    </w:p>
    <w:p>
      <w:pPr>
        <w:pStyle w:val="ListParagraph"/>
        <w:numPr>
          <w:ilvl w:val="0"/>
          <w:numId w:val="2"/>
        </w:numPr>
      </w:pPr>
      <w:r>
        <w:rPr>
          <w:b/>
          <w:bCs/>
        </w:rPr>
        <w:t xml:space="preserve">Regulatory integrity first </w:t>
      </w:r>
      <w:r>
        <w:t xml:space="preserve">Every claim is anchored to a primary source with a dated URL. If we cannot cite it, we do not say it.</w:t>
      </w:r>
    </w:p>
    <w:p>
      <w:pPr>
        <w:pStyle w:val="ListParagraph"/>
        <w:numPr>
          <w:ilvl w:val="0"/>
          <w:numId w:val="2"/>
        </w:numPr>
      </w:pPr>
      <w:r>
        <w:rPr>
          <w:b/>
          <w:bCs/>
        </w:rPr>
        <w:t xml:space="preserve">Analytical rigour </w:t>
      </w:r>
      <w:r>
        <w:t xml:space="preserve">Methods follow ICH Q2(R2). Stability follows ICH Q1A(R2). Quality follows ICH Q10. We document the version, not the vibe.</w:t>
      </w:r>
    </w:p>
    <w:p>
      <w:pPr>
        <w:pStyle w:val="ListParagraph"/>
        <w:numPr>
          <w:ilvl w:val="0"/>
          <w:numId w:val="2"/>
        </w:numPr>
      </w:pPr>
      <w:r>
        <w:rPr>
          <w:b/>
          <w:bCs/>
        </w:rPr>
        <w:t xml:space="preserve">Named principals </w:t>
      </w:r>
      <w:r>
        <w:t xml:space="preserve">Every engagement is signed off by one named principal on our side. No account-team handoffs after signature.</w:t>
      </w:r>
    </w:p>
    <w:p>
      <w:pPr>
        <w:pStyle w:val="ListParagraph"/>
        <w:numPr>
          <w:ilvl w:val="0"/>
          <w:numId w:val="2"/>
        </w:numPr>
      </w:pPr>
      <w:r>
        <w:rPr>
          <w:b/>
          <w:bCs/>
        </w:rPr>
        <w:t xml:space="preserve">Operating cadence </w:t>
      </w:r>
      <w:r>
        <w:t xml:space="preserve">Data-room closes at 17:00 IST. Mississauga picks up at 07:30 ET. Deviations are logged the same day, reviewed by the same quality lead.</w:t>
      </w:r>
    </w:p>
    <w:p>
      <w:pPr>
        <w:pStyle w:val="Heading2"/>
      </w:pPr>
      <w:r>
        <w:t xml:space="preserve">Two operating hubs, one quality manual.</w:t>
      </w:r>
    </w:p>
    <w:p>
      <w:r>
        <w:t xml:space="preserve">The bridge is operational, not aspirational. The Mississauga hub holds the Drug Establishment Licence and the 3PL; the Hyderabad hub carries the method and manufacturing bench. Everything else — distribution lanes, audit coverage, client work — runs between them.</w:t>
      </w:r>
    </w:p>
    <w:p>
      <w:pPr>
        <w:spacing w:after="40" w:before="80"/>
      </w:pPr>
      <w:r>
        <w:rPr>
          <w:b/>
          <w:bCs/>
        </w:rPr>
        <w:t xml:space="preserve">Mississauga, Canada — </w:t>
      </w:r>
      <w:r>
        <w:t xml:space="preserve">Head office — Health Canada DEL, 3PL, release testing</w:t>
      </w:r>
    </w:p>
    <w:p>
      <w:pPr>
        <w:pStyle w:val="ListParagraph"/>
        <w:numPr>
          <w:ilvl w:val="0"/>
          <w:numId w:val="2"/>
        </w:numPr>
      </w:pPr>
      <w:r>
        <w:t xml:space="preserve">Health Canada Drug Establishment Licence (DEL) — fabrication, packaging, labelling, testing, import, wholesale</w:t>
      </w:r>
    </w:p>
    <w:p>
      <w:pPr>
        <w:pStyle w:val="ListParagraph"/>
        <w:numPr>
          <w:ilvl w:val="0"/>
          <w:numId w:val="2"/>
        </w:numPr>
      </w:pPr>
      <w:r>
        <w:t xml:space="preserve">3PL warehousing with 2–8 °C cold chain and controlled-ambient storage</w:t>
      </w:r>
    </w:p>
    <w:p>
      <w:pPr>
        <w:pStyle w:val="ListParagraph"/>
        <w:numPr>
          <w:ilvl w:val="0"/>
          <w:numId w:val="2"/>
        </w:numPr>
      </w:pPr>
      <w:r>
        <w:t xml:space="preserve">Distribution lanes into Canada, the US, and the Caribbean</w:t>
      </w:r>
    </w:p>
    <w:p>
      <w:pPr>
        <w:pStyle w:val="ListParagraph"/>
        <w:numPr>
          <w:ilvl w:val="0"/>
          <w:numId w:val="2"/>
        </w:numPr>
      </w:pPr>
      <w:r>
        <w:t xml:space="preserve">USFDA establishment registration and TGA recognition</w:t>
      </w:r>
    </w:p>
    <w:p>
      <w:pPr>
        <w:spacing w:after="40" w:before="80"/>
      </w:pPr>
      <w:r>
        <w:rPr>
          <w:b/>
          <w:bCs/>
        </w:rPr>
        <w:t xml:space="preserve">Hyderabad, India — </w:t>
      </w:r>
      <w:r>
        <w:t xml:space="preserve">Analytical services, formulation, and development operations</w:t>
      </w:r>
    </w:p>
    <w:p>
      <w:pPr>
        <w:pStyle w:val="ListParagraph"/>
        <w:numPr>
          <w:ilvl w:val="0"/>
          <w:numId w:val="2"/>
        </w:numPr>
      </w:pPr>
      <w:r>
        <w:t xml:space="preserve">Method development and validation — HPLC, LC-MS/MS, dissolution, Karl Fischer, DSC</w:t>
      </w:r>
    </w:p>
    <w:p>
      <w:pPr>
        <w:pStyle w:val="ListParagraph"/>
        <w:numPr>
          <w:ilvl w:val="0"/>
          <w:numId w:val="2"/>
        </w:numPr>
      </w:pPr>
      <w:r>
        <w:t xml:space="preserve">Formulation bench for oral solids, semi-solids, and sterile injectables</w:t>
      </w:r>
    </w:p>
    <w:p>
      <w:pPr>
        <w:pStyle w:val="ListParagraph"/>
        <w:numPr>
          <w:ilvl w:val="0"/>
          <w:numId w:val="2"/>
        </w:numPr>
      </w:pPr>
      <w:r>
        <w:t xml:space="preserve">WHO-GMP inspection coverage across the manufacturing network</w:t>
      </w:r>
    </w:p>
    <w:p>
      <w:pPr>
        <w:pStyle w:val="ListParagraph"/>
        <w:numPr>
          <w:ilvl w:val="0"/>
          <w:numId w:val="2"/>
        </w:numPr>
      </w:pPr>
      <w:r>
        <w:t xml:space="preserve">ICH Q1A(R2) stability chambers across Zones I–IVb</w:t>
      </w:r>
    </w:p>
    <w:p>
      <w:pPr>
        <w:pStyle w:val="Heading2"/>
      </w:pPr>
      <w:r>
        <w:t xml:space="preserve">A short history, dated.</w:t>
      </w:r>
    </w:p>
    <w:p>
      <w:pPr>
        <w:spacing w:after="60"/>
      </w:pPr>
      <w:r>
        <w:rPr>
          <w:b/>
          <w:bCs/>
          <w:color w:val="0E4C5A"/>
        </w:rPr>
        <w:t xml:space="preserve">2010  </w:t>
      </w:r>
      <w:r>
        <w:rPr>
          <w:b/>
          <w:bCs/>
        </w:rPr>
        <w:t xml:space="preserve">Propharmex Hyderabad founded. </w:t>
      </w:r>
      <w:r>
        <w:t xml:space="preserve">Analytical services and formulation development benches stood up in Hyderabad, Telangana — initial focus on oral solids for Indian and emerging-market generics.</w:t>
      </w:r>
    </w:p>
    <w:p>
      <w:pPr>
        <w:spacing w:after="60"/>
      </w:pPr>
      <w:r>
        <w:rPr>
          <w:b/>
          <w:bCs/>
          <w:color w:val="0E4C5A"/>
        </w:rPr>
        <w:t xml:space="preserve">2014  </w:t>
      </w:r>
      <w:r>
        <w:rPr>
          <w:b/>
          <w:bCs/>
        </w:rPr>
        <w:t xml:space="preserve">Sterile injectable and semi-solid capability added. </w:t>
      </w:r>
      <w:r>
        <w:t xml:space="preserve">Method development expanded to dissolution-sensitive semi-solids and early lyophilized injectable work, with HPLC, LC-MS/MS, DSC, and Karl Fischer benches commissioned.</w:t>
      </w:r>
    </w:p>
    <w:p>
      <w:pPr>
        <w:spacing w:after="60"/>
      </w:pPr>
      <w:r>
        <w:rPr>
          <w:b/>
          <w:bCs/>
          <w:color w:val="0E4C5A"/>
        </w:rPr>
        <w:t xml:space="preserve">2017  </w:t>
      </w:r>
      <w:r>
        <w:rPr>
          <w:b/>
          <w:bCs/>
        </w:rPr>
        <w:t xml:space="preserve">Propharmex Canada incorporated in Mississauga, Ontario. </w:t>
      </w:r>
      <w:r>
        <w:t xml:space="preserve">Canadian entity established to anchor the regulatory layer and distribution footprint for North American market work.</w:t>
      </w:r>
    </w:p>
    <w:p>
      <w:pPr>
        <w:spacing w:after="60"/>
      </w:pPr>
      <w:r>
        <w:rPr>
          <w:b/>
          <w:bCs/>
          <w:color w:val="0E4C5A"/>
        </w:rPr>
        <w:t xml:space="preserve">2019  </w:t>
      </w:r>
      <w:r>
        <w:rPr>
          <w:b/>
          <w:bCs/>
        </w:rPr>
        <w:t xml:space="preserve">Health Canada Drug Establishment Licence issued. </w:t>
      </w:r>
      <w:r>
        <w:t xml:space="preserve">DEL issued for the Mississauga site covering fabrication, packaging, labelling, testing, import, and wholesale activities per GUI-0002.</w:t>
      </w:r>
    </w:p>
    <w:p>
      <w:pPr>
        <w:spacing w:after="60"/>
      </w:pPr>
      <w:r>
        <w:rPr>
          <w:b/>
          <w:bCs/>
          <w:color w:val="0E4C5A"/>
        </w:rPr>
        <w:t xml:space="preserve">2021  </w:t>
      </w:r>
      <w:r>
        <w:rPr>
          <w:b/>
          <w:bCs/>
        </w:rPr>
        <w:t xml:space="preserve">3PL distribution and cold-chain lanes commissioned. </w:t>
      </w:r>
      <w:r>
        <w:t xml:space="preserve">Mississauga cold-chain warehousing (2–8 °C and controlled ambient) and the CA / US / Caribbean distribution lanes brought online under the DEL.</w:t>
      </w:r>
    </w:p>
    <w:p>
      <w:pPr>
        <w:spacing w:after="60"/>
      </w:pPr>
      <w:r>
        <w:rPr>
          <w:b/>
          <w:bCs/>
          <w:color w:val="0E4C5A"/>
        </w:rPr>
        <w:t xml:space="preserve">2023  </w:t>
      </w:r>
      <w:r>
        <w:rPr>
          <w:b/>
          <w:bCs/>
        </w:rPr>
        <w:t xml:space="preserve">USFDA registration and TGA recognition. </w:t>
      </w:r>
      <w:r>
        <w:t xml:space="preserve">Establishment registration with the USFDA and recognition under the TGA framework added to the cert stack alongside WHO-GMP inspection coverage of the Hyderabad manufacturing network.</w:t>
      </w:r>
    </w:p>
    <w:p>
      <w:pPr>
        <w:spacing w:after="60"/>
      </w:pPr>
      <w:r>
        <w:rPr>
          <w:b/>
          <w:bCs/>
          <w:color w:val="0E4C5A"/>
        </w:rPr>
        <w:t xml:space="preserve">2024  </w:t>
      </w:r>
      <w:r>
        <w:rPr>
          <w:b/>
          <w:bCs/>
        </w:rPr>
        <w:t xml:space="preserve">Integrated complex-generic program retrospective. </w:t>
      </w:r>
      <w:r>
        <w:t xml:space="preserve">Across seven complex-generic engagements, single-CTMS integrated programs closed first-filing timelines 40–60% faster than the equivalent multi-vendor baseline we had observed in the two years prior.</w:t>
      </w:r>
    </w:p>
    <w:p>
      <w:pPr>
        <w:pStyle w:val="Heading2"/>
      </w:pPr>
      <w:r>
        <w:t xml:space="preserve">Leadership</w:t>
      </w:r>
    </w:p>
    <w:p>
      <w:r>
        <w:t xml:space="preserve">Every engagement is signed off by one named principal on the Propharmex side — development, analytical, regulatory, or distribution, depending on where your program is today. No account-team handoffs after signature.</w:t>
      </w:r>
    </w:p>
    <w:p>
      <w:pPr>
        <w:spacing w:after="20" w:before="80"/>
      </w:pPr>
      <w:r>
        <w:rPr>
          <w:b/>
          <w:bCs/>
        </w:rPr>
        <w:t xml:space="preserve">Principal, Regulatory Affairs — </w:t>
      </w:r>
      <w:r>
        <w:t xml:space="preserve">Health Canada DEL and USFDA submissions (Mississauga)</w:t>
      </w:r>
    </w:p>
    <w:p>
      <w:pPr>
        <w:pStyle w:val="Muted"/>
      </w:pPr>
      <w:r>
        <w:t xml:space="preserve">20+ years in ANDS, ANDA, and DMF Type II filings across generics and specialty dosage forms.</w:t>
      </w:r>
    </w:p>
    <w:p>
      <w:pPr>
        <w:pStyle w:val="Muted"/>
      </w:pPr>
      <w:r>
        <w:rPr>
          <w:i/>
          <w:iCs/>
        </w:rPr>
        <w:t xml:space="preserve">Profile in preparation — vetted biography will replace this placeholder.</w:t>
      </w:r>
    </w:p>
    <w:p>
      <w:pPr>
        <w:spacing w:after="20" w:before="80"/>
      </w:pPr>
      <w:r>
        <w:rPr>
          <w:b/>
          <w:bCs/>
        </w:rPr>
        <w:t xml:space="preserve">Head of Analytical — </w:t>
      </w:r>
      <w:r>
        <w:t xml:space="preserve">Method development and release testing (Hyderabad)</w:t>
      </w:r>
    </w:p>
    <w:p>
      <w:pPr>
        <w:pStyle w:val="Muted"/>
      </w:pPr>
      <w:r>
        <w:t xml:space="preserve">ICH Q2(R2) method development and validation across HPLC, LC-MS/MS, and dissolution.</w:t>
      </w:r>
    </w:p>
    <w:p>
      <w:pPr>
        <w:pStyle w:val="Muted"/>
      </w:pPr>
      <w:r>
        <w:rPr>
          <w:i/>
          <w:iCs/>
        </w:rPr>
        <w:t xml:space="preserve">Profile in preparation — vetted biography will replace this placeholder.</w:t>
      </w:r>
    </w:p>
    <w:p>
      <w:pPr>
        <w:spacing w:after="20" w:before="80"/>
      </w:pPr>
      <w:r>
        <w:rPr>
          <w:b/>
          <w:bCs/>
        </w:rPr>
        <w:t xml:space="preserve">Director, Operations — </w:t>
      </w:r>
      <w:r>
        <w:t xml:space="preserve">Manufacturing, 3PL distribution, and cold chain (Mississauga)</w:t>
      </w:r>
    </w:p>
    <w:p>
      <w:pPr>
        <w:pStyle w:val="Muted"/>
      </w:pPr>
      <w:r>
        <w:t xml:space="preserve">Cold-chain and 3PL operations across Canadian and US distribution lanes, plus Hyderabad scale-up oversight.</w:t>
      </w:r>
    </w:p>
    <w:p>
      <w:pPr>
        <w:pStyle w:val="Muted"/>
      </w:pPr>
      <w:r>
        <w:rPr>
          <w:i/>
          <w:iCs/>
        </w:rPr>
        <w:t xml:space="preserve">Profile in preparation — vetted biography will replace this placeholder.</w:t>
      </w:r>
    </w:p>
    <w:p>
      <w:pPr>
        <w:pBdr>
          <w:top w:val="single" w:color="0E4C5A" w:sz="6" w:space="1"/>
        </w:pBdr>
        <w:spacing w:before="200"/>
      </w:pPr>
      <w:r>
        <w:rPr>
          <w:color w:val="5A6C75"/>
          <w:sz w:val="16"/>
          <w:szCs w:val="16"/>
        </w:rPr>
        <w:t xml:space="preserve">Propharmex — Mississauga, Ontario · Hyderabad, Telangana · propharmex.com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11418"/>
      <w:sz w:val="32"/>
      <w:szCs w:val="32"/>
    </w:rPr>
  </w:style>
  <w:style w:type="paragraph" w:styleId="Heading2">
    <w:name w:val="Heading 2"/>
    <w:basedOn w:val="Normal"/>
    <w:next w:val="Normal"/>
    <w:qFormat/>
    <w:pPr>
      <w:spacing w:after="80" w:before="160"/>
      <w:outlineLvl w:val="1"/>
    </w:pPr>
    <w:rPr>
      <w:rFonts w:ascii="Arial" w:cs="Arial" w:eastAsia="Arial" w:hAnsi="Arial"/>
      <w:b/>
      <w:bCs/>
      <w:color w:val="0E4C5A"/>
      <w:sz w:val="22"/>
      <w:szCs w:val="22"/>
    </w:rPr>
  </w:style>
  <w:style w:type="paragraph" w:styleId="Eyebrow">
    <w:name w:val="Eyebrow"/>
    <w:basedOn w:val="Normal"/>
    <w:next w:val="Normal"/>
    <w:pPr>
      <w:spacing w:after="60"/>
    </w:pPr>
    <w:rPr>
      <w:rFonts w:ascii="Arial" w:cs="Arial" w:eastAsia="Arial" w:hAnsi="Arial"/>
      <w:b/>
      <w:bCs/>
      <w:color w:val="0E4C5A"/>
      <w:spacing w:val="24"/>
      <w:sz w:val="16"/>
      <w:szCs w:val="16"/>
    </w:rPr>
  </w:style>
  <w:style w:type="paragraph" w:styleId="Muted">
    <w:name w:val="Muted"/>
    <w:basedOn w:val="Normal"/>
    <w:next w:val="Normal"/>
    <w:pPr>
      <w:spacing w:after="60"/>
    </w:pPr>
    <w:rPr>
      <w:rFonts w:ascii="Arial" w:cs="Arial" w:eastAsia="Arial" w:hAnsi="Arial"/>
      <w:color w:val="5A6C75"/>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Propharmex company overview</dc:title>
  <dc:creator>Propharmex</dc:creator>
  <dc:description>Printable one-pager generated from the /about content source.</dc:description>
  <cp:lastModifiedBy>Un-named</cp:lastModifiedBy>
  <cp:revision>1</cp:revision>
  <dcterms:created xsi:type="dcterms:W3CDTF">2026-04-23T14:57:44.099Z</dcterms:created>
  <dcterms:modified xsi:type="dcterms:W3CDTF">2026-04-23T14:57:44.099Z</dcterms:modified>
</cp:coreProperties>
</file>

<file path=docProps/custom.xml><?xml version="1.0" encoding="utf-8"?>
<Properties xmlns="http://schemas.openxmlformats.org/officeDocument/2006/custom-properties" xmlns:vt="http://schemas.openxmlformats.org/officeDocument/2006/docPropsVTypes"/>
</file>