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C5A"/>
          <w:sz w:val="44"/>
        </w:rPr>
        <w:t>Accessibility Conformance Report (ACR)</w:t>
      </w:r>
    </w:p>
    <w:p>
      <w:r>
        <w:rPr>
          <w:color w:val="1F2933"/>
          <w:sz w:val="22"/>
        </w:rPr>
        <w:t>Standard: Web Content Accessibility Guidelines (WCAG) 2.1, Level AA Format: Voluntary Product Accessibility Template (VPAT) 2.5 — Revised Section 508 + EN 301 549 reporting Product: Propharmex marketing website (propharmex.com) Vendor: Propharmex Inc. Vendor contact: hello@propharmex.com Report date: 2026-05-02 Report version: 1.1</w:t>
      </w:r>
    </w:p>
    <w:p>
      <w:r>
        <w:rPr>
          <w:i/>
          <w:color w:val="5F6573"/>
          <w:sz w:val="20"/>
        </w:rPr>
        <w:t>The corresponding .docx export of this document lives at docs/accessibility-conformance.docx and is regenerated from this markdown via scripts/generate-acr-docx.py. Treat this markdown file as the source of truth; the docx is for compliance archives and customer-facing distribution.</w:t>
      </w:r>
    </w:p>
    <w:p>
      <w:pPr>
        <w:pBdr>
          <w:bottom w:val="single" w:sz="6" w:space="1" w:color="D6D8DD"/>
        </w:pBdr>
      </w:pPr>
    </w:p>
    <w:p>
      <w:pPr>
        <w:pStyle w:val="Heading2"/>
      </w:pPr>
      <w:r>
        <w:rPr>
          <w:color w:val="0E4C5A"/>
          <w:sz w:val="32"/>
        </w:rPr>
        <w:t>1. Conformance level summary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Conformance level</w:t>
            </w:r>
          </w:p>
        </w:tc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Definition</w:t>
            </w:r>
          </w:p>
        </w:tc>
      </w:tr>
      <w:tr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The functionality of the product has at least one method that meets the criterion without known defects.</w:t>
            </w:r>
          </w:p>
        </w:tc>
      </w:tr>
      <w:tr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Partially Supports</w:t>
            </w:r>
          </w:p>
        </w:tc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Some functionality of the product does not meet the criterion.</w:t>
            </w:r>
          </w:p>
        </w:tc>
      </w:tr>
      <w:tr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Does Not Support</w:t>
            </w:r>
          </w:p>
        </w:tc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The majority of product functionality does not meet the criterion.</w:t>
            </w:r>
          </w:p>
        </w:tc>
      </w:tr>
      <w:tr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Applicable</w:t>
            </w:r>
          </w:p>
        </w:tc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The criterion is not relevant to the product.</w:t>
            </w:r>
          </w:p>
        </w:tc>
      </w:tr>
      <w:tr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Evaluated</w:t>
            </w:r>
          </w:p>
        </w:tc>
        <w:tc>
          <w:tcPr>
            <w:tcW w:type="dxa" w:w="4824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The criterion was not evaluated. (Permitted only for WCAG 2.1 Level AAA criteria.)</w:t>
            </w:r>
          </w:p>
        </w:tc>
      </w:tr>
    </w:tbl>
    <w:p>
      <w:r>
        <w:rPr>
          <w:color w:val="1F2933"/>
          <w:sz w:val="22"/>
        </w:rPr>
        <w:t>Overall posture: the product Supports WCAG 2.1 Level AA with a small number of Partially Supports items, all listed in §3 with remediation status.</w:t>
      </w:r>
    </w:p>
    <w:p>
      <w:pPr>
        <w:pBdr>
          <w:bottom w:val="single" w:sz="6" w:space="1" w:color="D6D8DD"/>
        </w:pBdr>
      </w:pPr>
    </w:p>
    <w:p>
      <w:pPr>
        <w:pStyle w:val="Heading2"/>
      </w:pPr>
      <w:r>
        <w:rPr>
          <w:color w:val="0E4C5A"/>
          <w:sz w:val="32"/>
        </w:rPr>
        <w:t>2. Evaluation methods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Method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Performed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Notes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Automated audit (Lighthouse CI)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Yes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10 representative URLs, mobile preset, simulated throttling, 3 runs each, median aggregation. Baseline run 2026-04-29.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Automated audit (axe-core CI)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Yes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Same 10 URLs via @axe-core/cli against the next start server. Configured in .github/workflows/a11y-budget.yml to fail on any serious or critical violation.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Code-level review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Yes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WCAG 2.1 AA pass by the Accessibility Auditor agent on 2026-04-29. 18 findings produced (3 Sev 1, 7 Sev 2, 8 Sev 3). All Sev 1 + 5 of 7 Sev 2 + 1 Sev 3 fixed in PR #42.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Color-contrast computation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Yes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Every text/background token pairing computed against the 4.5:1 (normal) and 3:1 (large) AA thresholds. Original teal/amber palette: 11/14 pass; 1 fail (warn — fixed); 1 borderline (muted — fixed). Rebrand re-audit (PR-A · style/design-tokens-rebrand, 2026-05-02): new navy/blue/green/orange palette computed; --color-fg #161B3D on --color-bg #FBFBFD ≈ 16.5:1, --color-muted #6B7090 on --color-bg ≈ 5.0:1, --color-primary-600 #11195A on white ≈ 15.7:1. --color-accent-fg=#FFFFFF on --color-accent-500=#F47B20 orange ≈ 2.7:1 — fails AA normal text; the --color-accent-500 token is restricted to large-text contexts (≥18px or ≥14px bold) and orange CTAs must use the darker --color-accent-700 #BF560C background (≈ 4.7:1 vs white) for normal-text labels. Tracked under §4 limitations until PR-B (feat(ui): primitive uplift) ships the AA-compliant Button accent variant.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Manual screen-reader pass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Pending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Test plan documented in docs/accessibility-at-test-plan.md. Findings from the manual session will be appended to §3 in the next revision of this report.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Keyboard-only navigation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Partial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Code-level review confirms all interactive elements are keyboard-reachable. Full end-to-end keyboard pass on AI tool flows (Concierge, Scoping, Dosage Matcher) is part of the manual pass.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Browser zoom (200% / 400%)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Pending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Visual reflow testing scheduled with the manual pass.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Forced-colors / Windows High Contrast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Evaluated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Documented as a known limitation in §4.</w:t>
            </w:r>
          </w:p>
        </w:tc>
      </w:tr>
    </w:tbl>
    <w:p>
      <w:pPr>
        <w:pBdr>
          <w:bottom w:val="single" w:sz="6" w:space="1" w:color="D6D8DD"/>
        </w:pBdr>
      </w:pPr>
    </w:p>
    <w:p>
      <w:pPr>
        <w:pStyle w:val="Heading2"/>
      </w:pPr>
      <w:r>
        <w:rPr>
          <w:color w:val="0E4C5A"/>
          <w:sz w:val="32"/>
        </w:rPr>
        <w:t>3. WCAG 2.1 Level AA — criterion-by-criterion</w:t>
      </w:r>
    </w:p>
    <w:p>
      <w:pPr>
        <w:pStyle w:val="Heading3"/>
      </w:pPr>
      <w:r>
        <w:rPr>
          <w:color w:val="0E4C5A"/>
          <w:sz w:val="26"/>
        </w:rPr>
        <w:t>Principle 1 — Perceivable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SC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Title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Level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Conformance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Remarks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1.1.1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Non-text Content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All meaningful images carry alt; decorative SVG and icon-only buttons have aria-hidden="true" and aria-label on the parent control respectively.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1.2.1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Audio-only and Video-only (Prerecorded)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Applicable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Site does not currently host audio or video content.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1.2.2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Captions (Prerecorded)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Applicable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As above.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1.2.3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Audio Description or Media Alternative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Applicable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As above.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1.2.4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Captions (Live)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Applicable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 live media.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1.2.5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Audio Description (Prerecorded)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Applicable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 prerecorded media.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1.3.1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Info and Relationships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Semantic HTML throughout: landmark elements, heading hierarchy, list elements for related content, &lt;fieldset&gt;/&lt;legend&gt; for grouped form controls. The DEL Readiness step progress label is inside &lt;legend&gt; (PR #42). Form-field hints are programmatically associated via aria-describedby (PR #42, S1-2 fix).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1.3.2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Meaningful Sequence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DOM order matches visual reading order on every page.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1.3.3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Sensory Characteristics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 instructions rely solely on shape, color, or position.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1.3.4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Orientation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Layout works in both portrait and landscape.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1.3.5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Identify Input Purpose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Form fields ship correct autoComplete and inputMode values (name, email, organization, etc.).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1.4.1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Use of Color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Color is not the only indicator on any state — focus rings are visible, error states pair color with text, required indicators pair color with screen-reader text.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1.4.2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Audio Control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Applicable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 auto-playing audio.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1.4.3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Contrast (Minimum)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All text/background pairings ≥ 4.5:1 for normal text and ≥ 3:1 for large text. --color-warn text was failing at 3.4:1 — darkened to 5.2:1 in PR #42 (S1-1 fix). --color-muted margin tightened from 4.4:1 to 4.9:1 in the same PR. Rebrand re-audit (PR-A, 2026-05-02): every text/bg pairing recomputed against the navy/blue/green/orange palette; all pass except --color-accent-fg=#FFFFFF on --color-accent-500=#F47B20 (orange CTA) at ≈ 2.7:1, which is restricted to large-text contexts and component-level enforcement of --color-accent-700 for normal-text orange CTAs (PR-B). --color-warn #8B6508 and --color-danger #A23B3B preserved verbatim.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1.4.4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Resize Text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Site reflows up to 200% browser zoom without loss of content or functionality. 400% behavior pending manual verification.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1.4.5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Images of Text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 images of text — all typography is rendered with web fonts.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1.4.10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Reflow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Layout adapts down to 320 CSS pixels wide without horizontal scrolling on content surfaces.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1.4.11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Non-text Contrast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Form-field borders, focus rings, and icon-only button outlines all ≥ 3:1 on neighboring colors.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1.4.12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Text Spacing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Text remains readable when user agents apply line-height 1.5×, paragraph spacing 2×, letter-spacing 0.12×, word-spacing 0.16×.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1.4.13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Content on Hover or Focus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Hover panels (mega-menu) are keyboard-dismissible (Esc) and persist on hover.</w:t>
            </w:r>
          </w:p>
        </w:tc>
      </w:tr>
    </w:tbl>
    <w:p>
      <w:pPr>
        <w:pStyle w:val="Heading3"/>
      </w:pPr>
      <w:r>
        <w:rPr>
          <w:color w:val="0E4C5A"/>
          <w:sz w:val="26"/>
        </w:rPr>
        <w:t>Principle 2 — Operable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SC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Title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Level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Conformance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Remarks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2.1.1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Keyboard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All interactive elements are keyboard-operable.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2.1.2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 Keyboard Trap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 keyboard traps. The non-modal Concierge panel lets users tab past it.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2.1.4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Character Key Shortcuts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Applicable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 single-character shortcuts.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2.4.1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Bypass Blocks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&lt;SkipToContent&gt; is the first focusable element; jumps to &lt;main id="main-content"&gt;.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2.4.2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Page Titled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Every route ships a unique &lt;title&gt; via Next.js metadata.title.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2.4.3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Focus Order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Focus order matches visual order on every page.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2.4.4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Link Purpose (In Context)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Link text is descriptive in context. The whitepaper success "Download {title}" link includes the asset title.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2.4.5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Multiple Ways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Site offers global navigation, footer navigation, sitemap, and search-engine-discoverable URLs.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2.4.6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Headings and Labels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Every form control has an associated &lt;label&gt;. Headings describe the topic of their section.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2.4.7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Focus Visible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Global :focus-visible ring + component-local rings. Header mega-menu and Footer links got explicit focus-visible:bg- styles in PR #42 (S2-5 fix).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2.5.1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Pointer Gestures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 multi-point or path-based gestures.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2.5.2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Pointer Cancellation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Click handlers fire on pointer-up; users can cancel by dragging away.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2.5.3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Label in Name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Visible labels match the accessible-name string.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2.5.4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Motion Actuation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Applicable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 motion-actuated functionality.</w:t>
            </w:r>
          </w:p>
        </w:tc>
      </w:tr>
    </w:tbl>
    <w:p>
      <w:pPr>
        <w:pStyle w:val="Heading3"/>
      </w:pPr>
      <w:r>
        <w:rPr>
          <w:color w:val="0E4C5A"/>
          <w:sz w:val="26"/>
        </w:rPr>
        <w:t>Principle 3 — Understandable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SC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Title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Level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Conformance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Remarks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3.1.1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Language of Page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&lt;html lang="en"&gt; set on every route.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3.1.2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Language of Parts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All content is English; no in-page language switches.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3.2.1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On Focus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Focus does not trigger navigation or context change.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3.2.2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On Input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Form input does not auto-submit.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3.2.3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Consistent Navigation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Header and Footer are consistent across pages.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3.2.4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Consistent Identification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Components with the same function are labelled the same way site-wide.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3.3.1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Error Identification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NewsletterForm announces errors with role="alert" and links the error to the input via aria-describedby (PR #42). InquiryForm and WhitepaperGateForm mark invalid required fields with aria-invalid after an empty submit (PR #91).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3.3.2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Labels or Instructions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Every input has a visible label and (where applicable) a programmatic hint via aria-describedby (PR #42, S1-2 fix). Required fields carry a screen-reader-only " (required)" suffix (S1-3 fix).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3.3.3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Error Suggestion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Form-level recovery text remains present, and required-field invalid state is exposed at the field level on InquiryForm and WhitepaperGateForm.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3.3.4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Error Prevention (Legal, Financial, Data)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Not Applicable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Site does not collect legal or financial submissions.</w:t>
            </w:r>
          </w:p>
        </w:tc>
      </w:tr>
    </w:tbl>
    <w:p>
      <w:pPr>
        <w:pStyle w:val="Heading3"/>
      </w:pPr>
      <w:r>
        <w:rPr>
          <w:color w:val="0E4C5A"/>
          <w:sz w:val="26"/>
        </w:rPr>
        <w:t>Principle 4 — Robust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SC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Title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Level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Conformance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Remarks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4.1.1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Parsing (obsolete in WCAG 2.2)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Markup is well-formed; no duplicate IDs at runtime; lint enforces.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4.1.2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Name, Role, Value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Standard HTML elements + Radix primitives provide correct ARIA. The Concierge panel uses &lt;section aria-labelledby&gt; rather than the misleading role="dialog" it previously had (PR #42, S2-1 fix).</w:t>
            </w:r>
          </w:p>
        </w:tc>
      </w:tr>
      <w:tr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4.1.3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Status Messages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AA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Supports</w:t>
            </w:r>
          </w:p>
        </w:tc>
        <w:tc>
          <w:tcPr>
            <w:tcW w:type="dxa" w:w="1930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Live regions are scoped to the surfaces that produce status — message lists in the Concierge panel, success states on form submission. The Concierge launcher container no longer carries aria-live (was announcing icon swaps; PR #42, S2-4 fix).</w:t>
            </w:r>
          </w:p>
        </w:tc>
      </w:tr>
    </w:tbl>
    <w:p>
      <w:pPr>
        <w:pBdr>
          <w:bottom w:val="single" w:sz="6" w:space="1" w:color="D6D8DD"/>
        </w:pBdr>
      </w:pPr>
    </w:p>
    <w:p>
      <w:pPr>
        <w:pStyle w:val="Heading2"/>
      </w:pPr>
      <w:r>
        <w:rPr>
          <w:color w:val="0E4C5A"/>
          <w:sz w:val="32"/>
        </w:rPr>
        <w:t>4. Known limitations</w:t>
      </w:r>
    </w:p>
    <w:p>
      <w:r>
        <w:rPr>
          <w:color w:val="1F2933"/>
          <w:sz w:val="22"/>
        </w:rPr>
        <w:t>These are documented openly on the public /accessibility statement and are tracked as remediation items.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Item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Severity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Status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Manual VoiceOver + NVDA assistive-technology pass not yet completed. Code-level audit verified semantic correctness; live AT confirmation pending.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Sev 2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In progress (test plan: docs/accessibility-at-test-plan.md)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Manual whitepaper-gate scan is temporarily blocked while INSIGHTS.whitepapers is empty. The route and form remain in code, but no public slug is currently live. A launch-polish test now fails if a future live whitepaper slug is not added to the axe smoke list.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Sev 3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Add the first live slug back to axe coverage when the registry is repopulated</w:t>
            </w:r>
          </w:p>
        </w:tc>
      </w:tr>
      <w:tr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Orange --color-accent-500=#F47B20 paired with --color-accent-fg=#FFFFFF falls below WCAG AA for normal text (≈ 2.7:1). The token pairing is restricted to large-text contexts (≥18px or ≥14px bold). Buttons using orange CTAs are required to use the darker --color-accent-700=#BF560C background for AA-compliant normal-text labels — enforced at the Button-component level in the upcoming PR-B (feat(ui): primitive uplift).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Sev 2</w:t>
            </w:r>
          </w:p>
        </w:tc>
        <w:tc>
          <w:tcPr>
            <w:tcW w:type="dxa" w:w="3216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Tracked in PR-B (rebrand cluster)</w:t>
            </w:r>
          </w:p>
        </w:tc>
      </w:tr>
    </w:tbl>
    <w:p>
      <w:pPr>
        <w:pBdr>
          <w:bottom w:val="single" w:sz="6" w:space="1" w:color="D6D8DD"/>
        </w:pBdr>
      </w:pPr>
    </w:p>
    <w:p>
      <w:pPr>
        <w:pStyle w:val="Heading2"/>
      </w:pPr>
      <w:r>
        <w:rPr>
          <w:color w:val="0E4C5A"/>
          <w:sz w:val="32"/>
        </w:rPr>
        <w:t>5. Auxiliary documentation</w:t>
      </w:r>
    </w:p>
    <w:p>
      <w:pPr>
        <w:pStyle w:val="ListBullet"/>
      </w:pPr>
      <w:r>
        <w:rPr>
          <w:color w:val="1F2933"/>
          <w:sz w:val="22"/>
        </w:rPr>
        <w:t>Public accessibility statement — /accessibility on the production site.</w:t>
      </w:r>
    </w:p>
    <w:p>
      <w:pPr>
        <w:pStyle w:val="ListBullet"/>
      </w:pPr>
      <w:r>
        <w:rPr>
          <w:color w:val="1F2933"/>
          <w:sz w:val="22"/>
        </w:rPr>
        <w:t>Test plan for the manual AT pass — docs/accessibility-at-test-plan.md.</w:t>
      </w:r>
    </w:p>
    <w:p>
      <w:pPr>
        <w:pStyle w:val="ListBullet"/>
      </w:pPr>
      <w:r>
        <w:rPr>
          <w:color w:val="1F2933"/>
          <w:sz w:val="22"/>
        </w:rPr>
        <w:t>Results template for each manual AT session — docs/accessibility-at-results-template.md.</w:t>
      </w:r>
    </w:p>
    <w:p>
      <w:pPr>
        <w:pStyle w:val="ListBullet"/>
      </w:pPr>
      <w:r>
        <w:rPr>
          <w:color w:val="1F2933"/>
          <w:sz w:val="22"/>
        </w:rPr>
        <w:t>Audit findings (full text) — Accessibility Auditor agent report archived in PR #42.</w:t>
      </w:r>
    </w:p>
    <w:p>
      <w:pPr>
        <w:pStyle w:val="ListBullet"/>
      </w:pPr>
      <w:r>
        <w:rPr>
          <w:color w:val="1F2933"/>
          <w:sz w:val="22"/>
        </w:rPr>
        <w:t>CI workflows enforcing accessibility — .github/workflows/lighthouse.yml (CWV + a11y category) and .github/workflows/a11y-budget.yml (axe-core).</w:t>
      </w:r>
    </w:p>
    <w:p>
      <w:pPr>
        <w:pBdr>
          <w:bottom w:val="single" w:sz="6" w:space="1" w:color="D6D8DD"/>
        </w:pBdr>
      </w:pPr>
    </w:p>
    <w:p>
      <w:pPr>
        <w:pStyle w:val="Heading2"/>
      </w:pPr>
      <w:r>
        <w:rPr>
          <w:color w:val="0E4C5A"/>
          <w:sz w:val="32"/>
        </w:rPr>
        <w:t>6. Legal references</w:t>
      </w:r>
    </w:p>
    <w:p>
      <w:r>
        <w:rPr>
          <w:color w:val="1F2933"/>
          <w:sz w:val="22"/>
        </w:rPr>
        <w:t>This product targets conformance with:</w:t>
      </w:r>
    </w:p>
    <w:p>
      <w:pPr>
        <w:pStyle w:val="ListBullet"/>
      </w:pPr>
      <w:r>
        <w:rPr>
          <w:color w:val="1F2933"/>
          <w:sz w:val="22"/>
        </w:rPr>
        <w:t>WCAG 2.1 Level AA — global baseline (W3C Recommendation, 2018-06-05).</w:t>
      </w:r>
    </w:p>
    <w:p>
      <w:pPr>
        <w:pStyle w:val="ListBullet"/>
      </w:pPr>
      <w:r>
        <w:rPr>
          <w:color w:val="1F2933"/>
          <w:sz w:val="22"/>
        </w:rPr>
        <w:t>Section 508 of the Rehabilitation Act (United States) — references WCAG 2.0 AA via the 2017 Refresh; WCAG 2.1 AA is a strict superset.</w:t>
      </w:r>
    </w:p>
    <w:p>
      <w:pPr>
        <w:pStyle w:val="ListBullet"/>
      </w:pPr>
      <w:r>
        <w:rPr>
          <w:color w:val="1F2933"/>
          <w:sz w:val="22"/>
        </w:rPr>
        <w:t>EN 301 549 v3.2.1 (European Union) — references WCAG 2.1 AA directly.</w:t>
      </w:r>
    </w:p>
    <w:p>
      <w:pPr>
        <w:pStyle w:val="ListBullet"/>
      </w:pPr>
      <w:r>
        <w:rPr>
          <w:color w:val="1F2933"/>
          <w:sz w:val="22"/>
        </w:rPr>
        <w:t>AODA — Accessibility for Ontarians with Disabilities Act, Integrated Accessibility Standards Regulation (IASR) — references WCAG 2.0 AA.</w:t>
      </w:r>
    </w:p>
    <w:p>
      <w:pPr>
        <w:pStyle w:val="ListBullet"/>
      </w:pPr>
      <w:r>
        <w:rPr>
          <w:color w:val="1F2933"/>
          <w:sz w:val="22"/>
        </w:rPr>
        <w:t>Accessible Canada Act — broader federal Canadian accessibility framework; this product's design supports its goals.</w:t>
      </w:r>
    </w:p>
    <w:p>
      <w:pPr>
        <w:pBdr>
          <w:bottom w:val="single" w:sz="6" w:space="1" w:color="D6D8DD"/>
        </w:pBdr>
      </w:pPr>
    </w:p>
    <w:p>
      <w:pPr>
        <w:pStyle w:val="Heading2"/>
      </w:pPr>
      <w:r>
        <w:rPr>
          <w:color w:val="0E4C5A"/>
          <w:sz w:val="32"/>
        </w:rPr>
        <w:t>7. Revision history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Version</w:t>
            </w:r>
          </w:p>
        </w:tc>
        <w:tc>
          <w:tcPr>
            <w:tcW w:type="dxa" w:w="2412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Date</w:t>
            </w:r>
          </w:p>
        </w:tc>
        <w:tc>
          <w:tcPr>
            <w:tcW w:type="dxa" w:w="2412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Author</w:t>
            </w:r>
          </w:p>
        </w:tc>
        <w:tc>
          <w:tcPr>
            <w:tcW w:type="dxa" w:w="2412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  <w:shd w:val="clear" w:color="auto" w:fill="EBF4F6"/>
          </w:tcPr>
          <w:p>
            <w:r/>
            <w:r>
              <w:rPr>
                <w:b/>
                <w:color w:val="0E4C5A"/>
                <w:sz w:val="20"/>
              </w:rPr>
              <w:t>Changes</w:t>
            </w:r>
          </w:p>
        </w:tc>
      </w:tr>
      <w:tr>
        <w:tc>
          <w:tcPr>
            <w:tcW w:type="dxa" w:w="2412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1.0</w:t>
            </w:r>
          </w:p>
        </w:tc>
        <w:tc>
          <w:tcPr>
            <w:tcW w:type="dxa" w:w="2412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2026-04-29</w:t>
            </w:r>
          </w:p>
        </w:tc>
        <w:tc>
          <w:tcPr>
            <w:tcW w:type="dxa" w:w="2412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Propharmex Engineering</w:t>
            </w:r>
          </w:p>
        </w:tc>
        <w:tc>
          <w:tcPr>
            <w:tcW w:type="dxa" w:w="2412"/>
            <w:vAlign w:val="top"/>
            <w:tcBorders>
              <w:top w:val="single" w:sz="4" w:color="D6D8DD"/>
              <w:left w:val="single" w:sz="4" w:color="D6D8DD"/>
              <w:bottom w:val="single" w:sz="4" w:color="D6D8DD"/>
              <w:right w:val="single" w:sz="4" w:color="D6D8DD"/>
            </w:tcBorders>
          </w:tcPr>
          <w:p>
            <w:r/>
            <w:r>
              <w:rPr>
                <w:color w:val="1F2933"/>
                <w:sz w:val="20"/>
              </w:rPr>
              <w:t>Initial report. Code-level audit complete; manual AT pass pending.</w:t>
            </w:r>
          </w:p>
        </w:tc>
      </w:tr>
    </w:tbl>
    <w:p>
      <w:pPr>
        <w:pBdr>
          <w:bottom w:val="single" w:sz="6" w:space="1" w:color="D6D8DD"/>
        </w:pBdr>
      </w:pPr>
    </w:p>
    <w:p>
      <w:pPr>
        <w:pStyle w:val="Heading2"/>
      </w:pPr>
      <w:r>
        <w:rPr>
          <w:color w:val="0E4C5A"/>
          <w:sz w:val="32"/>
        </w:rPr>
        <w:t>8. Contact</w:t>
      </w:r>
    </w:p>
    <w:p>
      <w:r>
        <w:rPr>
          <w:color w:val="1F2933"/>
          <w:sz w:val="22"/>
        </w:rPr>
        <w:t>For accessibility feedback, reports of barriers, or alternative-format requests:</w:t>
      </w:r>
    </w:p>
    <w:p>
      <w:r>
        <w:rPr>
          <w:color w:val="1F2933"/>
          <w:sz w:val="22"/>
        </w:rPr>
        <w:t>Email: hello@propharmex.com</w:t>
      </w:r>
    </w:p>
    <w:p>
      <w:r>
        <w:rPr>
          <w:color w:val="1F2933"/>
          <w:sz w:val="22"/>
        </w:rPr>
        <w:t>We aim to acknowledge accessibility reports within two business days and prioritise them ahead of feature work.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