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5f548b5682008ed2fba400f201cf48d88e74043"/>
    <w:p>
      <w:pPr>
        <w:pStyle w:val="Heading1"/>
      </w:pPr>
      <w:r>
        <w:t xml:space="preserve">Gaps in TypeSpec Directory Structure Guidelines - Evaluation of liftrneon Service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evaluates the new TypeSpec directory structure guidelines against the existing</w:t>
      </w:r>
      <w:r>
        <w:t xml:space="preserve"> </w:t>
      </w:r>
      <w:r>
        <w:rPr>
          <w:rStyle w:val="VerbatimChar"/>
        </w:rPr>
        <w:t xml:space="preserve">liftrneon</w:t>
      </w:r>
      <w:r>
        <w:t xml:space="preserve"> </w:t>
      </w:r>
      <w:r>
        <w:t xml:space="preserve">service directory to identify gaps and ambiguities that may present challenges during restructuring efforts.</w:t>
      </w:r>
    </w:p>
    <w:bookmarkEnd w:id="20"/>
    <w:bookmarkStart w:id="21" w:name="identified-gaps-and-ambiguities"/>
    <w:p>
      <w:pPr>
        <w:pStyle w:val="Heading2"/>
      </w:pPr>
      <w:r>
        <w:t xml:space="preserve">Identified Gaps and Ambiguities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Top-Level Directory Naming Confusion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Issue</w:t>
      </w:r>
      <w:r>
        <w:t xml:space="preserve">: The guidelines state that the folder immediately under</w:t>
      </w:r>
      <w:r>
        <w:t xml:space="preserve"> </w:t>
      </w:r>
      <w:r>
        <w:rPr>
          <w:rStyle w:val="VerbatimChar"/>
        </w:rPr>
        <w:t xml:space="preserve">specification</w:t>
      </w:r>
      <w:r>
        <w:t xml:space="preserve"> </w:t>
      </w:r>
      <w:r>
        <w:t xml:space="preserve">should be the RPNamespace name, but the current structure has</w:t>
      </w:r>
      <w:r>
        <w:t xml:space="preserve"> </w:t>
      </w:r>
      <w:r>
        <w:rPr>
          <w:rStyle w:val="VerbatimChar"/>
        </w:rPr>
        <w:t xml:space="preserve">liftrneon</w:t>
      </w:r>
      <w:r>
        <w:t xml:space="preserve"> </w:t>
      </w:r>
      <w:r>
        <w:t xml:space="preserve">which doesn’t match the actual RP namespace, which appears to be</w:t>
      </w:r>
      <w:r>
        <w:t xml:space="preserve"> </w:t>
      </w:r>
      <w:r>
        <w:rPr>
          <w:rStyle w:val="VerbatimChar"/>
        </w:rPr>
        <w:t xml:space="preserve">Neon.Postgres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Question</w:t>
      </w:r>
      <w:r>
        <w:t xml:space="preserve">: Should the top-level directory be renamed from</w:t>
      </w:r>
      <w:r>
        <w:t xml:space="preserve"> </w:t>
      </w:r>
      <w:r>
        <w:rPr>
          <w:rStyle w:val="VerbatimChar"/>
        </w:rPr>
        <w:t xml:space="preserve">liftrneon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Neon.Postgres</w:t>
      </w:r>
      <w:r>
        <w:t xml:space="preserve">? Or is</w:t>
      </w:r>
      <w:r>
        <w:t xml:space="preserve"> </w:t>
      </w:r>
      <w:r>
        <w:rPr>
          <w:rStyle w:val="VerbatimChar"/>
        </w:rPr>
        <w:t xml:space="preserve">liftrneon</w:t>
      </w:r>
      <w:r>
        <w:t xml:space="preserve"> </w:t>
      </w:r>
      <w:r>
        <w:t xml:space="preserve">an acceptable</w:t>
      </w:r>
      <w:r>
        <w:t xml:space="preserve"> </w:t>
      </w:r>
      <w:r>
        <w:t xml:space="preserve">“</w:t>
      </w:r>
      <w:r>
        <w:t xml:space="preserve">orgName</w:t>
      </w:r>
      <w:r>
        <w:t xml:space="preserve">”</w:t>
      </w:r>
      <w:r>
        <w:t xml:space="preserve"> </w:t>
      </w:r>
      <w:r>
        <w:t xml:space="preserve">that should be retained?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Impact</w:t>
      </w:r>
      <w:r>
        <w:t xml:space="preserve">: This creates confusion regarding whether to restructure in place or create a new directory structure.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Service Name Determination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Issue</w:t>
      </w:r>
      <w:r>
        <w:t xml:space="preserve">: The current structure has</w:t>
      </w:r>
      <w:r>
        <w:t xml:space="preserve"> </w:t>
      </w:r>
      <w:r>
        <w:rPr>
          <w:rStyle w:val="VerbatimChar"/>
        </w:rPr>
        <w:t xml:space="preserve">Neon.Postgres.Management</w:t>
      </w:r>
      <w:r>
        <w:t xml:space="preserve"> </w:t>
      </w:r>
      <w:r>
        <w:t xml:space="preserve">as the service directory, but it’s unclear what the appropriate service name should be in the new structure.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Question</w:t>
      </w:r>
      <w:r>
        <w:t xml:space="preserve">: Should this be renamed to something like</w:t>
      </w:r>
      <w:r>
        <w:t xml:space="preserve"> </w:t>
      </w:r>
      <w:r>
        <w:rPr>
          <w:rStyle w:val="VerbatimChar"/>
        </w:rPr>
        <w:t xml:space="preserve">NeonPostgres</w:t>
      </w:r>
      <w:r>
        <w:t xml:space="preserve">, or should the current name be preserved?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Impact</w:t>
      </w:r>
      <w:r>
        <w:t xml:space="preserve">: Uncertainty about the correct service name affects the entire restructuring process.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Operations Service Requirement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Issue</w:t>
      </w:r>
      <w:r>
        <w:t xml:space="preserve">: The guidelines mandate an</w:t>
      </w:r>
      <w:r>
        <w:t xml:space="preserve"> </w:t>
      </w:r>
      <w:r>
        <w:rPr>
          <w:rStyle w:val="VerbatimChar"/>
        </w:rPr>
        <w:t xml:space="preserve">operations</w:t>
      </w:r>
      <w:r>
        <w:t xml:space="preserve"> </w:t>
      </w:r>
      <w:r>
        <w:t xml:space="preserve">service folder, but the current structure doesn’t have one.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Question</w:t>
      </w:r>
      <w:r>
        <w:t xml:space="preserve">: What content should go into this new operations service folder? How much of the existing code needs to be extracted to form this service?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Impact</w:t>
      </w:r>
      <w:r>
        <w:t xml:space="preserve">: Service teams may not know how to create this required operations service from existing code.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Models Directory vs. models.tsp File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Issue</w:t>
      </w:r>
      <w:r>
        <w:t xml:space="preserve">: The current structure has a separate</w:t>
      </w:r>
      <w:r>
        <w:t xml:space="preserve"> </w:t>
      </w:r>
      <w:r>
        <w:rPr>
          <w:rStyle w:val="VerbatimChar"/>
        </w:rPr>
        <w:t xml:space="preserve">Neon.Postgres.Models</w:t>
      </w:r>
      <w:r>
        <w:t xml:space="preserve"> </w:t>
      </w:r>
      <w:r>
        <w:t xml:space="preserve">directory with multiple model files, while the guidelines suggest a single</w:t>
      </w:r>
      <w:r>
        <w:t xml:space="preserve"> </w:t>
      </w:r>
      <w:r>
        <w:rPr>
          <w:rStyle w:val="VerbatimChar"/>
        </w:rPr>
        <w:t xml:space="preserve">models.tsp</w:t>
      </w:r>
      <w:r>
        <w:t xml:space="preserve"> </w:t>
      </w:r>
      <w:r>
        <w:t xml:space="preserve">file.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Question</w:t>
      </w:r>
      <w:r>
        <w:t xml:space="preserve">: Should multiple model files be consolidated into one</w:t>
      </w:r>
      <w:r>
        <w:t xml:space="preserve"> </w:t>
      </w:r>
      <w:r>
        <w:rPr>
          <w:rStyle w:val="VerbatimChar"/>
        </w:rPr>
        <w:t xml:space="preserve">models.tsp</w:t>
      </w:r>
      <w:r>
        <w:t xml:space="preserve"> </w:t>
      </w:r>
      <w:r>
        <w:t xml:space="preserve">file, or is a models directory with separate files acceptable?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Impact</w:t>
      </w:r>
      <w:r>
        <w:t xml:space="preserve">: Significant refactoring might be required if consolidation is mandatory.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LiftrBase Dependencies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Issue</w:t>
      </w:r>
      <w:r>
        <w:t xml:space="preserve">: The current TypeSpec files have references to</w:t>
      </w:r>
      <w:r>
        <w:t xml:space="preserve"> </w:t>
      </w:r>
      <w:r>
        <w:rPr>
          <w:rStyle w:val="VerbatimChar"/>
        </w:rPr>
        <w:t xml:space="preserve">LiftrBase.Data</w:t>
      </w:r>
      <w:r>
        <w:t xml:space="preserve">, but the guidelines don’t address how to handle external or shared dependencies.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Question</w:t>
      </w:r>
      <w:r>
        <w:t xml:space="preserve">: How should shared dependencies like LiftrBase be structured and referenced in the new directory structure?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Impact</w:t>
      </w:r>
      <w:r>
        <w:t xml:space="preserve">: Import paths may break if dependencies aren’t properly handled.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Examples Organization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Issue</w:t>
      </w:r>
      <w:r>
        <w:t xml:space="preserve">: Examples exist in both the TypeSpec structure and under resource-manager, but the guidelines are not clear about how to consolidate or reconcile these.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Question</w:t>
      </w:r>
      <w:r>
        <w:t xml:space="preserve">: Should examples from both sources be combined, or should they be kept separate based on their origin?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Impact</w:t>
      </w:r>
      <w:r>
        <w:t xml:space="preserve">: Potential duplication or loss of examples if not properly migrated.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Relative Path Configuration in tspconfig.yaml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Issue</w:t>
      </w:r>
      <w:r>
        <w:t xml:space="preserve">: The guidelines don’t provide specific guidance for updating relative paths in</w:t>
      </w:r>
      <w:r>
        <w:t xml:space="preserve"> </w:t>
      </w:r>
      <w:r>
        <w:rPr>
          <w:rStyle w:val="VerbatimChar"/>
        </w:rPr>
        <w:t xml:space="preserve">tspconfig.yaml</w:t>
      </w:r>
      <w:r>
        <w:t xml:space="preserve"> </w:t>
      </w:r>
      <w:r>
        <w:t xml:space="preserve">files when restructuring.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Question</w:t>
      </w:r>
      <w:r>
        <w:t xml:space="preserve">: How should paths like</w:t>
      </w:r>
      <w:r>
        <w:t xml:space="preserve"> </w:t>
      </w:r>
      <w:r>
        <w:rPr>
          <w:rStyle w:val="VerbatimChar"/>
        </w:rPr>
        <w:t xml:space="preserve">emitter-output-dir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output-file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examples-dir</w:t>
      </w:r>
      <w:r>
        <w:t xml:space="preserve"> </w:t>
      </w:r>
      <w:r>
        <w:t xml:space="preserve">be updated to align with the new structure?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Impact</w:t>
      </w:r>
      <w:r>
        <w:t xml:space="preserve">: Build errors or warnings may occur if paths are not correctly updated.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Multiple API Versions Handling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Issue</w:t>
      </w:r>
      <w:r>
        <w:t xml:space="preserve">: The service has multiple API versions (2025-03-01-preview, 2025-03-01), but the guidelines aren’t explicit about how these should be represented in the TypeSpec files.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Question</w:t>
      </w:r>
      <w:r>
        <w:t xml:space="preserve">: How should the restructured TypeSpec files handle multiple API versions? Should there be separate directories or files?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Impact</w:t>
      </w:r>
      <w:r>
        <w:t xml:space="preserve">: API versioning might not work correctly if not properly implemented.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README.md Requirements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Issue</w:t>
      </w:r>
      <w:r>
        <w:t xml:space="preserve">: The guidelines require a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file in the service directory with specific autorest YAML blocks, but don’t detail what these blocks should contain.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Question</w:t>
      </w:r>
      <w:r>
        <w:t xml:space="preserve">: What specific content and YAML blocks are required in the new service directory’s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file?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Impact</w:t>
      </w:r>
      <w:r>
        <w:t xml:space="preserve">: Autorest generation might fail if the readme file isn’t properly configured.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Cleanup of Old Structure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Issue</w:t>
      </w:r>
      <w:r>
        <w:t xml:space="preserve">: The guidelines don’t address how to handle the transition period or cleanup of the old structure.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Question</w:t>
      </w:r>
      <w:r>
        <w:t xml:space="preserve">: After restructuring, should the old directories be immediately removed, or should there be a transition period with both structures?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Impact</w:t>
      </w:r>
      <w:r>
        <w:t xml:space="preserve">: Potential disruption to existing workflows if old structures are removed too quickly.</w:t>
      </w:r>
    </w:p>
    <w:bookmarkEnd w:id="21"/>
    <w:bookmarkStart w:id="22" w:name="recommended-clarifications"/>
    <w:p>
      <w:pPr>
        <w:pStyle w:val="Heading2"/>
      </w:pPr>
      <w:r>
        <w:t xml:space="preserve">Recommended Clarifications</w:t>
      </w:r>
    </w:p>
    <w:p>
      <w:pPr>
        <w:numPr>
          <w:ilvl w:val="0"/>
          <w:numId w:val="1012"/>
        </w:numPr>
        <w:pStyle w:val="Compact"/>
      </w:pPr>
      <w:r>
        <w:t xml:space="preserve">Provide clear guidance on whether the top-level directory name (</w:t>
      </w:r>
      <w:r>
        <w:rPr>
          <w:rStyle w:val="VerbatimChar"/>
        </w:rPr>
        <w:t xml:space="preserve">liftrneon</w:t>
      </w:r>
      <w:r>
        <w:t xml:space="preserve">) should be changed to match the RPNamespace.</w:t>
      </w:r>
    </w:p>
    <w:p>
      <w:pPr>
        <w:numPr>
          <w:ilvl w:val="0"/>
          <w:numId w:val="1012"/>
        </w:numPr>
        <w:pStyle w:val="Compact"/>
      </w:pPr>
      <w:r>
        <w:t xml:space="preserve">Clarify the naming convention for the service directory, particularly when the current name doesn’t match the expected format.</w:t>
      </w:r>
    </w:p>
    <w:p>
      <w:pPr>
        <w:numPr>
          <w:ilvl w:val="0"/>
          <w:numId w:val="1012"/>
        </w:numPr>
        <w:pStyle w:val="Compact"/>
      </w:pPr>
      <w:r>
        <w:t xml:space="preserve">Provide concrete examples of how to extract and implement the required operations service.</w:t>
      </w:r>
    </w:p>
    <w:p>
      <w:pPr>
        <w:numPr>
          <w:ilvl w:val="0"/>
          <w:numId w:val="1012"/>
        </w:numPr>
        <w:pStyle w:val="Compact"/>
      </w:pPr>
      <w:r>
        <w:t xml:space="preserve">Specify whether model files can remain separate in a models directory or must be consolidated into a single file.</w:t>
      </w:r>
    </w:p>
    <w:p>
      <w:pPr>
        <w:numPr>
          <w:ilvl w:val="0"/>
          <w:numId w:val="1012"/>
        </w:numPr>
        <w:pStyle w:val="Compact"/>
      </w:pPr>
      <w:r>
        <w:t xml:space="preserve">Offer guidance on handling external or shared dependencies.</w:t>
      </w:r>
    </w:p>
    <w:p>
      <w:pPr>
        <w:numPr>
          <w:ilvl w:val="0"/>
          <w:numId w:val="1012"/>
        </w:numPr>
        <w:pStyle w:val="Compact"/>
      </w:pPr>
      <w:r>
        <w:t xml:space="preserve">Clarify the expected organization of examples from different sources.</w:t>
      </w:r>
    </w:p>
    <w:p>
      <w:pPr>
        <w:numPr>
          <w:ilvl w:val="0"/>
          <w:numId w:val="1012"/>
        </w:numPr>
        <w:pStyle w:val="Compact"/>
      </w:pPr>
      <w:r>
        <w:t xml:space="preserve">Provide specific guidance for updating relative paths in configuration files.</w:t>
      </w:r>
    </w:p>
    <w:p>
      <w:pPr>
        <w:numPr>
          <w:ilvl w:val="0"/>
          <w:numId w:val="1012"/>
        </w:numPr>
        <w:pStyle w:val="Compact"/>
      </w:pPr>
      <w:r>
        <w:t xml:space="preserve">Detail how to handle multiple API versions in the restructured TypeSpec files.</w:t>
      </w:r>
    </w:p>
    <w:p>
      <w:pPr>
        <w:numPr>
          <w:ilvl w:val="0"/>
          <w:numId w:val="1012"/>
        </w:numPr>
        <w:pStyle w:val="Compact"/>
      </w:pPr>
      <w:r>
        <w:t xml:space="preserve">Provide a template or example of the required readme.md file with autorest YAML blocks.</w:t>
      </w:r>
    </w:p>
    <w:p>
      <w:pPr>
        <w:numPr>
          <w:ilvl w:val="0"/>
          <w:numId w:val="1012"/>
        </w:numPr>
        <w:pStyle w:val="Compact"/>
      </w:pPr>
      <w:r>
        <w:t xml:space="preserve">Outline a recommended approach for transitioning from the old structure to the new one.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2025-05-01T18:19:27Z</dcterms:created>
  <dcterms:modified xsi:type="dcterms:W3CDTF">2025-05-01T18:19:27Z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