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Retrieval and Reranking Evaluation</w:t>
      </w:r>
    </w:p>
    <w:p>
      <w:pPr>
        <w:spacing w:after="140"/>
      </w:pPr>
      <w:r>
        <w:rPr>
          <w:rFonts w:ascii="Aptos" w:hAnsi="Aptos"/>
          <w:b/>
          <w:color w:val="087E8B"/>
          <w:sz w:val="20"/>
        </w:rPr>
        <w:t>NIST SP 800-63B-4  |  Failure analysis, answer quality, and latency</w:t>
      </w:r>
    </w:p>
    <w:p>
      <w:r>
        <w:t>A bi-encoder quickly retrieves candidate passages, while a cross-encoder reranks the strongest candidates. In two document-specific stress cases, reranking moved the answer-bearing chunk to rank 1 and enabled Gemini Flash-Lite to answer where the baseline abstained.</w:t>
      </w:r>
    </w:p>
    <w:p>
      <w:pPr>
        <w:pStyle w:val="Heading1"/>
      </w:pPr>
      <w:r>
        <w:t>1. Architecture comparison</w:t>
      </w:r>
    </w:p>
    <w:p>
      <w:r>
        <w:rPr>
          <w:b/>
        </w:rPr>
        <w:t xml:space="preserve">Bi-Encoder. </w:t>
      </w:r>
      <w:r>
        <w:t>The query and each passage are embedded independently. Passage embeddings can be precomputed, and cosine similarity ranks the full collection efficiently.</w:t>
      </w:r>
    </w:p>
    <w:p>
      <w:r>
        <w:rPr>
          <w:b/>
        </w:rPr>
        <w:t xml:space="preserve">Cross-Encoder. </w:t>
      </w:r>
      <w:r>
        <w:t>The query and a passage are processed together, so self-attention can compare their tokens directly. This produces a more query-specific relevance score, but requires a separate inference for each query-passage pair.</w:t>
      </w:r>
    </w:p>
    <w:p>
      <w:pPr>
        <w:pStyle w:val="Heading1"/>
      </w:pPr>
      <w:r>
        <w:t>2. Qualitative and rank-shift analysis</w:t>
      </w:r>
    </w:p>
    <w:p>
      <w:r>
        <w:t>We tested dense Top 3 against a cross-encoder reranking the dense Top 10 and returning its Top 3. “Answer 1” is generated from dense Top 3; “Answer 2” is generated from reranked Top 3.</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3168"/>
            <w:vAlign w:val="center"/>
            <w:tcMar>
              <w:top w:w="85" w:type="dxa"/>
              <w:start w:w="85" w:type="dxa"/>
              <w:bottom w:w="85" w:type="dxa"/>
              <w:end w:w="85" w:type="dxa"/>
            </w:tcMar>
            <w:shd w:fill="17324D"/>
          </w:tcPr>
          <w:p>
            <w:pPr>
              <w:spacing w:after="20" w:before="20" w:line="240" w:lineRule="auto"/>
            </w:pPr>
            <w:r>
              <w:rPr>
                <w:b/>
                <w:color w:val="FFFFFF"/>
                <w:sz w:val="16"/>
              </w:rPr>
            </w:r>
            <w:r>
              <w:rPr>
                <w:rFonts w:ascii="Aptos" w:hAnsi="Aptos"/>
                <w:b/>
                <w:color w:val="FFFFFF"/>
                <w:sz w:val="16"/>
              </w:rPr>
              <w:t>Case and failure mode</w:t>
            </w:r>
          </w:p>
        </w:tc>
        <w:tc>
          <w:tcPr>
            <w:tcW w:type="dxa" w:w="1440"/>
            <w:vAlign w:val="center"/>
            <w:tcMar>
              <w:top w:w="85" w:type="dxa"/>
              <w:start w:w="85" w:type="dxa"/>
              <w:bottom w:w="85" w:type="dxa"/>
              <w:end w:w="85" w:type="dxa"/>
            </w:tcMar>
            <w:shd w:fill="17324D"/>
          </w:tcPr>
          <w:p>
            <w:pPr>
              <w:spacing w:after="20" w:before="20" w:line="240" w:lineRule="auto"/>
            </w:pPr>
            <w:r>
              <w:rPr>
                <w:b/>
                <w:color w:val="FFFFFF"/>
                <w:sz w:val="16"/>
              </w:rPr>
            </w:r>
            <w:r>
              <w:rPr>
                <w:rFonts w:ascii="Aptos" w:hAnsi="Aptos"/>
                <w:b/>
                <w:color w:val="FFFFFF"/>
                <w:sz w:val="16"/>
              </w:rPr>
              <w:t>Gold chunk rank</w:t>
            </w:r>
          </w:p>
        </w:tc>
        <w:tc>
          <w:tcPr>
            <w:tcW w:type="dxa" w:w="1584"/>
            <w:vAlign w:val="center"/>
            <w:tcMar>
              <w:top w:w="85" w:type="dxa"/>
              <w:start w:w="85" w:type="dxa"/>
              <w:bottom w:w="85" w:type="dxa"/>
              <w:end w:w="85" w:type="dxa"/>
            </w:tcMar>
            <w:shd w:fill="17324D"/>
          </w:tcPr>
          <w:p>
            <w:pPr>
              <w:spacing w:after="20" w:before="20" w:line="240" w:lineRule="auto"/>
            </w:pPr>
            <w:r>
              <w:rPr>
                <w:b/>
                <w:color w:val="FFFFFF"/>
                <w:sz w:val="16"/>
              </w:rPr>
            </w:r>
            <w:r>
              <w:rPr>
                <w:rFonts w:ascii="Aptos" w:hAnsi="Aptos"/>
                <w:b/>
                <w:color w:val="FFFFFF"/>
                <w:sz w:val="16"/>
              </w:rPr>
              <w:t>LLM Answer 1</w:t>
              <w:br/>
              <w:t>Baseline</w:t>
            </w:r>
          </w:p>
        </w:tc>
        <w:tc>
          <w:tcPr>
            <w:tcW w:type="dxa" w:w="4104"/>
            <w:vAlign w:val="center"/>
            <w:tcMar>
              <w:top w:w="85" w:type="dxa"/>
              <w:start w:w="85" w:type="dxa"/>
              <w:bottom w:w="85" w:type="dxa"/>
              <w:end w:w="85" w:type="dxa"/>
            </w:tcMar>
            <w:shd w:fill="17324D"/>
          </w:tcPr>
          <w:p>
            <w:pPr>
              <w:spacing w:after="20" w:before="20" w:line="240" w:lineRule="auto"/>
            </w:pPr>
            <w:r>
              <w:rPr>
                <w:b/>
                <w:color w:val="FFFFFF"/>
                <w:sz w:val="16"/>
              </w:rPr>
            </w:r>
            <w:r>
              <w:rPr>
                <w:rFonts w:ascii="Aptos" w:hAnsi="Aptos"/>
                <w:b/>
                <w:color w:val="FFFFFF"/>
                <w:sz w:val="16"/>
              </w:rPr>
              <w:t>LLM Answer 2</w:t>
              <w:br/>
              <w:t>Re-ranked</w:t>
            </w:r>
          </w:p>
        </w:tc>
      </w:tr>
      <w:tr>
        <w:trPr>
          <w:cantSplit/>
        </w:trPr>
        <w:tc>
          <w:tcPr>
            <w:tcW w:type="dxa" w:w="3168"/>
            <w:vAlign w:val="center"/>
            <w:shd w:fill="EEF4F7"/>
            <w:tcMar>
              <w:top w:w="85" w:type="dxa"/>
              <w:start w:w="85" w:type="dxa"/>
              <w:bottom w:w="85" w:type="dxa"/>
              <w:end w:w="85" w:type="dxa"/>
            </w:tcMar>
          </w:tcPr>
          <w:p>
            <w:pPr>
              <w:spacing w:after="20" w:before="20" w:line="240" w:lineRule="auto"/>
            </w:pPr>
            <w:r/>
            <w:r>
              <w:rPr>
                <w:rFonts w:ascii="Aptos" w:hAnsi="Aptos"/>
                <w:b w:val="0"/>
                <w:color w:val="26313D"/>
                <w:sz w:val="18"/>
              </w:rPr>
              <w:t>F1  Keyword trap / specific rule</w:t>
              <w:br/>
              <w:t>Query: failed-try limit for the local PIN unlocking a multifactor authenticator?</w:t>
            </w:r>
          </w:p>
        </w:tc>
        <w:tc>
          <w:tcPr>
            <w:tcW w:type="dxa" w:w="1440"/>
            <w:vAlign w:val="center"/>
            <w:tcMar>
              <w:top w:w="85" w:type="dxa"/>
              <w:start w:w="85" w:type="dxa"/>
              <w:bottom w:w="85" w:type="dxa"/>
              <w:end w:w="85" w:type="dxa"/>
            </w:tcMar>
          </w:tcPr>
          <w:p>
            <w:pPr>
              <w:spacing w:after="20" w:before="20" w:line="240" w:lineRule="auto"/>
            </w:pPr>
            <w:r/>
            <w:r>
              <w:rPr>
                <w:rFonts w:ascii="Aptos" w:hAnsi="Aptos"/>
                <w:b w:val="0"/>
                <w:color w:val="26313D"/>
                <w:sz w:val="18"/>
              </w:rPr>
              <w:t>C0129, p. 49</w:t>
              <w:br/>
              <w:t>#7 → #1</w:t>
            </w:r>
          </w:p>
        </w:tc>
        <w:tc>
          <w:tcPr>
            <w:tcW w:type="dxa" w:w="1584"/>
            <w:vAlign w:val="center"/>
            <w:tcMar>
              <w:top w:w="85" w:type="dxa"/>
              <w:start w:w="85" w:type="dxa"/>
              <w:bottom w:w="85" w:type="dxa"/>
              <w:end w:w="85" w:type="dxa"/>
            </w:tcMar>
          </w:tcPr>
          <w:p>
            <w:pPr>
              <w:spacing w:after="20" w:before="20" w:line="240" w:lineRule="auto"/>
            </w:pPr>
            <w:r/>
            <w:r>
              <w:rPr>
                <w:rFonts w:ascii="Aptos" w:hAnsi="Aptos"/>
                <w:b w:val="0"/>
                <w:color w:val="26313D"/>
                <w:sz w:val="18"/>
              </w:rPr>
              <w:t>“Insufficient context”</w:t>
            </w:r>
          </w:p>
        </w:tc>
        <w:tc>
          <w:tcPr>
            <w:tcW w:type="dxa" w:w="4104"/>
            <w:vAlign w:val="center"/>
            <w:tcMar>
              <w:top w:w="85" w:type="dxa"/>
              <w:start w:w="85" w:type="dxa"/>
              <w:bottom w:w="85" w:type="dxa"/>
              <w:end w:w="85" w:type="dxa"/>
            </w:tcMar>
          </w:tcPr>
          <w:p>
            <w:pPr>
              <w:spacing w:after="20" w:before="20" w:line="240" w:lineRule="auto"/>
            </w:pPr>
            <w:r/>
            <w:r>
              <w:rPr>
                <w:rFonts w:ascii="Aptos" w:hAnsi="Aptos"/>
                <w:b w:val="0"/>
                <w:color w:val="26313D"/>
                <w:sz w:val="18"/>
              </w:rPr>
              <w:t>“The authenticator or verifier SHALL implement a retry-limiting mechanism that limits the number of consecutive failed activation attempts using the authenticator to no more than 10.”</w:t>
            </w:r>
          </w:p>
        </w:tc>
      </w:tr>
      <w:tr>
        <w:trPr>
          <w:cantSplit/>
        </w:trPr>
        <w:tc>
          <w:tcPr>
            <w:tcW w:type="dxa" w:w="3168"/>
            <w:vAlign w:val="center"/>
            <w:shd w:fill="EEF4F7"/>
            <w:tcMar>
              <w:top w:w="85" w:type="dxa"/>
              <w:start w:w="85" w:type="dxa"/>
              <w:bottom w:w="85" w:type="dxa"/>
              <w:end w:w="85" w:type="dxa"/>
            </w:tcMar>
          </w:tcPr>
          <w:p>
            <w:pPr>
              <w:spacing w:after="20" w:before="20" w:line="240" w:lineRule="auto"/>
            </w:pPr>
            <w:r/>
            <w:r>
              <w:rPr>
                <w:rFonts w:ascii="Aptos" w:hAnsi="Aptos"/>
                <w:b w:val="0"/>
                <w:color w:val="26313D"/>
                <w:sz w:val="18"/>
              </w:rPr>
              <w:t>F2  Negation / modality constraint</w:t>
              <w:br/>
              <w:t>Query: which biometric comparison method is explicitly forbidden?</w:t>
            </w:r>
          </w:p>
        </w:tc>
        <w:tc>
          <w:tcPr>
            <w:tcW w:type="dxa" w:w="1440"/>
            <w:vAlign w:val="center"/>
            <w:tcMar>
              <w:top w:w="85" w:type="dxa"/>
              <w:start w:w="85" w:type="dxa"/>
              <w:bottom w:w="85" w:type="dxa"/>
              <w:end w:w="85" w:type="dxa"/>
            </w:tcMar>
          </w:tcPr>
          <w:p>
            <w:pPr>
              <w:spacing w:after="20" w:before="20" w:line="240" w:lineRule="auto"/>
            </w:pPr>
            <w:r/>
            <w:r>
              <w:rPr>
                <w:rFonts w:ascii="Aptos" w:hAnsi="Aptos"/>
                <w:b w:val="0"/>
                <w:color w:val="26313D"/>
                <w:sz w:val="18"/>
              </w:rPr>
              <w:t>C0113, pp. 43–44</w:t>
              <w:br/>
              <w:t>#4 → #1</w:t>
            </w:r>
          </w:p>
        </w:tc>
        <w:tc>
          <w:tcPr>
            <w:tcW w:type="dxa" w:w="1584"/>
            <w:vAlign w:val="center"/>
            <w:tcMar>
              <w:top w:w="85" w:type="dxa"/>
              <w:start w:w="85" w:type="dxa"/>
              <w:bottom w:w="85" w:type="dxa"/>
              <w:end w:w="85" w:type="dxa"/>
            </w:tcMar>
          </w:tcPr>
          <w:p>
            <w:pPr>
              <w:spacing w:after="20" w:before="20" w:line="240" w:lineRule="auto"/>
            </w:pPr>
            <w:r/>
            <w:r>
              <w:rPr>
                <w:rFonts w:ascii="Aptos" w:hAnsi="Aptos"/>
                <w:b w:val="0"/>
                <w:color w:val="26313D"/>
                <w:sz w:val="18"/>
              </w:rPr>
              <w:t>“Insufficient context”</w:t>
            </w:r>
          </w:p>
        </w:tc>
        <w:tc>
          <w:tcPr>
            <w:tcW w:type="dxa" w:w="4104"/>
            <w:vAlign w:val="center"/>
            <w:tcMar>
              <w:top w:w="85" w:type="dxa"/>
              <w:start w:w="85" w:type="dxa"/>
              <w:bottom w:w="85" w:type="dxa"/>
              <w:end w:w="85" w:type="dxa"/>
            </w:tcMar>
          </w:tcPr>
          <w:p>
            <w:pPr>
              <w:spacing w:after="20" w:before="20" w:line="240" w:lineRule="auto"/>
            </w:pPr>
            <w:r/>
            <w:r>
              <w:rPr>
                <w:rFonts w:ascii="Aptos" w:hAnsi="Aptos"/>
                <w:b w:val="0"/>
                <w:color w:val="26313D"/>
                <w:sz w:val="18"/>
              </w:rPr>
              <w:t>“Biometric comparison based on voice SHALL NOT be used.”</w:t>
            </w:r>
          </w:p>
        </w:tc>
      </w:tr>
    </w:tbl>
    <w:p>
      <w:pPr>
        <w:pStyle w:val="Heading2"/>
      </w:pPr>
      <w:r>
        <w:t>What the rank shifts show</w:t>
      </w:r>
    </w:p>
    <w:p>
      <w:pPr>
        <w:spacing w:before="100"/>
      </w:pPr>
      <w:r>
        <w:rPr>
          <w:b/>
        </w:rPr>
        <w:t xml:space="preserve">Interpretation. </w:t>
      </w:r>
      <w:r>
        <w:t>Both baseline answers omitted the essential rule by abstaining; neither hallucinated in this run. For F1, the query says “PIN,” while the standard states the rule using “activation secret” and “failed activation attempts.” The dense Top 3 missed that passage. For F2, the explicit negative constraint on voice comparison was buried below broad biometric discussion. Reranking surfaced each exact clause and the LLM recovered the limit and prohibition.</w:t>
      </w:r>
    </w:p>
    <w:p>
      <w:r>
        <w:br w:type="page"/>
      </w:r>
    </w:p>
    <w:p>
      <w:pPr>
        <w:pStyle w:val="Heading2"/>
      </w:pPr>
      <w:r>
        <w:t>Retrieved distractors</w:t>
      </w:r>
    </w:p>
    <w:p>
      <w:pPr>
        <w:spacing w:after="60"/>
      </w:pPr>
      <w:r>
        <w:t>F1’s dense Top 3 contained C0249 (local verification and passwords), C0090 (a 64-bit OTP condition), and C0106 (the general 100-attempt throttling rule); the specific 10-attempt activation-secret limit is in C0129. F2’s Top 3 contained general biometric rationale, usability, and measurement passages (C0110, C0225, C0109); the explicit voice SHALL NOT clause is in C0113.</w:t>
      </w:r>
    </w:p>
    <w:p>
      <w:pPr>
        <w:pStyle w:val="Heading1"/>
      </w:pPr>
      <w:r>
        <w:t>3. Latency profiling</w:t>
      </w:r>
    </w:p>
    <w:p>
      <w:r>
        <w:t>Median of five warmed CPU retrieval trials per query. Baseline includes query embedding plus dense ranking; reranking scores the ten candidates; advanced total is the median per-trial sum. Document extraction, model loading, corpus embedding, and LLM generation are excluded.</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440"/>
            <w:vAlign w:val="center"/>
            <w:tcMar>
              <w:top w:w="85" w:type="dxa"/>
              <w:start w:w="85" w:type="dxa"/>
              <w:bottom w:w="85" w:type="dxa"/>
              <w:end w:w="85" w:type="dxa"/>
            </w:tcMar>
            <w:shd w:fill="17324D"/>
          </w:tcPr>
          <w:p>
            <w:pPr>
              <w:spacing w:after="20" w:before="20" w:line="240" w:lineRule="auto"/>
            </w:pPr>
            <w:r>
              <w:rPr>
                <w:b/>
                <w:color w:val="FFFFFF"/>
                <w:sz w:val="16"/>
              </w:rPr>
            </w:r>
            <w:r>
              <w:rPr>
                <w:rFonts w:ascii="Aptos" w:hAnsi="Aptos"/>
                <w:b/>
                <w:color w:val="FFFFFF"/>
                <w:sz w:val="16"/>
              </w:rPr>
              <w:t>Case</w:t>
            </w:r>
          </w:p>
        </w:tc>
        <w:tc>
          <w:tcPr>
            <w:tcW w:type="dxa" w:w="2880"/>
            <w:vAlign w:val="center"/>
            <w:tcMar>
              <w:top w:w="85" w:type="dxa"/>
              <w:start w:w="85" w:type="dxa"/>
              <w:bottom w:w="85" w:type="dxa"/>
              <w:end w:w="85" w:type="dxa"/>
            </w:tcMar>
            <w:shd w:fill="17324D"/>
          </w:tcPr>
          <w:p>
            <w:pPr>
              <w:spacing w:after="20" w:before="20" w:line="240" w:lineRule="auto"/>
            </w:pPr>
            <w:r>
              <w:rPr>
                <w:b/>
                <w:color w:val="FFFFFF"/>
                <w:sz w:val="16"/>
              </w:rPr>
            </w:r>
            <w:r>
              <w:rPr>
                <w:rFonts w:ascii="Aptos" w:hAnsi="Aptos"/>
                <w:b/>
                <w:color w:val="FFFFFF"/>
                <w:sz w:val="16"/>
              </w:rPr>
              <w:t>Baseline retrieval</w:t>
            </w:r>
          </w:p>
        </w:tc>
        <w:tc>
          <w:tcPr>
            <w:tcW w:type="dxa" w:w="2880"/>
            <w:vAlign w:val="center"/>
            <w:tcMar>
              <w:top w:w="85" w:type="dxa"/>
              <w:start w:w="85" w:type="dxa"/>
              <w:bottom w:w="85" w:type="dxa"/>
              <w:end w:w="85" w:type="dxa"/>
            </w:tcMar>
            <w:shd w:fill="17324D"/>
          </w:tcPr>
          <w:p>
            <w:pPr>
              <w:spacing w:after="20" w:before="20" w:line="240" w:lineRule="auto"/>
            </w:pPr>
            <w:r>
              <w:rPr>
                <w:b/>
                <w:color w:val="FFFFFF"/>
                <w:sz w:val="16"/>
              </w:rPr>
            </w:r>
            <w:r>
              <w:rPr>
                <w:rFonts w:ascii="Aptos" w:hAnsi="Aptos"/>
                <w:b/>
                <w:color w:val="FFFFFF"/>
                <w:sz w:val="16"/>
              </w:rPr>
              <w:t>Reranking only</w:t>
            </w:r>
          </w:p>
        </w:tc>
        <w:tc>
          <w:tcPr>
            <w:tcW w:type="dxa" w:w="3240"/>
            <w:vAlign w:val="center"/>
            <w:tcMar>
              <w:top w:w="85" w:type="dxa"/>
              <w:start w:w="85" w:type="dxa"/>
              <w:bottom w:w="85" w:type="dxa"/>
              <w:end w:w="85" w:type="dxa"/>
            </w:tcMar>
            <w:shd w:fill="17324D"/>
          </w:tcPr>
          <w:p>
            <w:pPr>
              <w:spacing w:after="20" w:before="20" w:line="240" w:lineRule="auto"/>
            </w:pPr>
            <w:r>
              <w:rPr>
                <w:b/>
                <w:color w:val="FFFFFF"/>
                <w:sz w:val="16"/>
              </w:rPr>
            </w:r>
            <w:r>
              <w:rPr>
                <w:rFonts w:ascii="Aptos" w:hAnsi="Aptos"/>
                <w:b/>
                <w:color w:val="FFFFFF"/>
                <w:sz w:val="16"/>
              </w:rPr>
              <w:t>Advanced total</w:t>
            </w:r>
          </w:p>
        </w:tc>
      </w:tr>
      <w:tr>
        <w:trPr>
          <w:cantSplit/>
        </w:trPr>
        <w:tc>
          <w:tcPr>
            <w:tcW w:type="dxa" w:w="1440"/>
            <w:vAlign w:val="center"/>
            <w:tcMar>
              <w:top w:w="85" w:type="dxa"/>
              <w:start w:w="85" w:type="dxa"/>
              <w:bottom w:w="85" w:type="dxa"/>
              <w:end w:w="85" w:type="dxa"/>
            </w:tcMar>
          </w:tcPr>
          <w:p>
            <w:pPr>
              <w:spacing w:after="20" w:before="20" w:line="240" w:lineRule="auto"/>
            </w:pPr>
            <w:r/>
            <w:r>
              <w:rPr>
                <w:rFonts w:ascii="Aptos" w:hAnsi="Aptos"/>
                <w:b w:val="0"/>
                <w:color w:val="26313D"/>
                <w:sz w:val="17"/>
              </w:rPr>
              <w:t>F1</w:t>
            </w:r>
          </w:p>
        </w:tc>
        <w:tc>
          <w:tcPr>
            <w:tcW w:type="dxa" w:w="2880"/>
            <w:vAlign w:val="center"/>
            <w:tcMar>
              <w:top w:w="85" w:type="dxa"/>
              <w:start w:w="85" w:type="dxa"/>
              <w:bottom w:w="85" w:type="dxa"/>
              <w:end w:w="85" w:type="dxa"/>
            </w:tcMar>
          </w:tcPr>
          <w:p>
            <w:pPr>
              <w:spacing w:after="20" w:before="20" w:line="240" w:lineRule="auto"/>
            </w:pPr>
            <w:r/>
            <w:r>
              <w:rPr>
                <w:rFonts w:ascii="Aptos" w:hAnsi="Aptos"/>
                <w:b w:val="0"/>
                <w:color w:val="26313D"/>
                <w:sz w:val="17"/>
              </w:rPr>
              <w:t>12.44 ms</w:t>
            </w:r>
          </w:p>
        </w:tc>
        <w:tc>
          <w:tcPr>
            <w:tcW w:type="dxa" w:w="2880"/>
            <w:vAlign w:val="center"/>
            <w:tcMar>
              <w:top w:w="85" w:type="dxa"/>
              <w:start w:w="85" w:type="dxa"/>
              <w:bottom w:w="85" w:type="dxa"/>
              <w:end w:w="85" w:type="dxa"/>
            </w:tcMar>
          </w:tcPr>
          <w:p>
            <w:pPr>
              <w:spacing w:after="20" w:before="20" w:line="240" w:lineRule="auto"/>
            </w:pPr>
            <w:r/>
            <w:r>
              <w:rPr>
                <w:rFonts w:ascii="Aptos" w:hAnsi="Aptos"/>
                <w:b w:val="0"/>
                <w:color w:val="26313D"/>
                <w:sz w:val="17"/>
              </w:rPr>
              <w:t>268.43 ms</w:t>
            </w:r>
          </w:p>
        </w:tc>
        <w:tc>
          <w:tcPr>
            <w:tcW w:type="dxa" w:w="3240"/>
            <w:vAlign w:val="center"/>
            <w:tcMar>
              <w:top w:w="85" w:type="dxa"/>
              <w:start w:w="85" w:type="dxa"/>
              <w:bottom w:w="85" w:type="dxa"/>
              <w:end w:w="85" w:type="dxa"/>
            </w:tcMar>
          </w:tcPr>
          <w:p>
            <w:pPr>
              <w:spacing w:after="20" w:before="20" w:line="240" w:lineRule="auto"/>
            </w:pPr>
            <w:r/>
            <w:r>
              <w:rPr>
                <w:rFonts w:ascii="Aptos" w:hAnsi="Aptos"/>
                <w:b w:val="0"/>
                <w:color w:val="26313D"/>
                <w:sz w:val="17"/>
              </w:rPr>
              <w:t>280.73 ms</w:t>
            </w:r>
          </w:p>
        </w:tc>
      </w:tr>
      <w:tr>
        <w:trPr>
          <w:cantSplit/>
        </w:trPr>
        <w:tc>
          <w:tcPr>
            <w:tcW w:type="dxa" w:w="1440"/>
            <w:vAlign w:val="center"/>
            <w:tcMar>
              <w:top w:w="85" w:type="dxa"/>
              <w:start w:w="85" w:type="dxa"/>
              <w:bottom w:w="85" w:type="dxa"/>
              <w:end w:w="85" w:type="dxa"/>
            </w:tcMar>
          </w:tcPr>
          <w:p>
            <w:pPr>
              <w:spacing w:after="20" w:before="20" w:line="240" w:lineRule="auto"/>
            </w:pPr>
            <w:r/>
            <w:r>
              <w:rPr>
                <w:rFonts w:ascii="Aptos" w:hAnsi="Aptos"/>
                <w:b w:val="0"/>
                <w:color w:val="26313D"/>
                <w:sz w:val="17"/>
              </w:rPr>
              <w:t>F2</w:t>
            </w:r>
          </w:p>
        </w:tc>
        <w:tc>
          <w:tcPr>
            <w:tcW w:type="dxa" w:w="2880"/>
            <w:vAlign w:val="center"/>
            <w:tcMar>
              <w:top w:w="85" w:type="dxa"/>
              <w:start w:w="85" w:type="dxa"/>
              <w:bottom w:w="85" w:type="dxa"/>
              <w:end w:w="85" w:type="dxa"/>
            </w:tcMar>
          </w:tcPr>
          <w:p>
            <w:pPr>
              <w:spacing w:after="20" w:before="20" w:line="240" w:lineRule="auto"/>
            </w:pPr>
            <w:r/>
            <w:r>
              <w:rPr>
                <w:rFonts w:ascii="Aptos" w:hAnsi="Aptos"/>
                <w:b w:val="0"/>
                <w:color w:val="26313D"/>
                <w:sz w:val="17"/>
              </w:rPr>
              <w:t>12.26 ms</w:t>
            </w:r>
          </w:p>
        </w:tc>
        <w:tc>
          <w:tcPr>
            <w:tcW w:type="dxa" w:w="2880"/>
            <w:vAlign w:val="center"/>
            <w:tcMar>
              <w:top w:w="85" w:type="dxa"/>
              <w:start w:w="85" w:type="dxa"/>
              <w:bottom w:w="85" w:type="dxa"/>
              <w:end w:w="85" w:type="dxa"/>
            </w:tcMar>
          </w:tcPr>
          <w:p>
            <w:pPr>
              <w:spacing w:after="20" w:before="20" w:line="240" w:lineRule="auto"/>
            </w:pPr>
            <w:r/>
            <w:r>
              <w:rPr>
                <w:rFonts w:ascii="Aptos" w:hAnsi="Aptos"/>
                <w:b w:val="0"/>
                <w:color w:val="26313D"/>
                <w:sz w:val="17"/>
              </w:rPr>
              <w:t>215.94 ms</w:t>
            </w:r>
          </w:p>
        </w:tc>
        <w:tc>
          <w:tcPr>
            <w:tcW w:type="dxa" w:w="3240"/>
            <w:vAlign w:val="center"/>
            <w:tcMar>
              <w:top w:w="85" w:type="dxa"/>
              <w:start w:w="85" w:type="dxa"/>
              <w:bottom w:w="85" w:type="dxa"/>
              <w:end w:w="85" w:type="dxa"/>
            </w:tcMar>
          </w:tcPr>
          <w:p>
            <w:pPr>
              <w:spacing w:after="20" w:before="20" w:line="240" w:lineRule="auto"/>
            </w:pPr>
            <w:r/>
            <w:r>
              <w:rPr>
                <w:rFonts w:ascii="Aptos" w:hAnsi="Aptos"/>
                <w:b w:val="0"/>
                <w:color w:val="26313D"/>
                <w:sz w:val="17"/>
              </w:rPr>
              <w:t>231.20 ms</w:t>
            </w:r>
          </w:p>
        </w:tc>
      </w:tr>
    </w:tbl>
    <w:p>
      <w:r>
        <w:t>Reranking adds about 216–268 ms for ten candidates in these trials, lifting total retrieval from about 12 ms to 231–281 ms. Timings vary with hardware and system load; the relevance gains are documented in the two cases on page 1.</w:t>
      </w:r>
    </w:p>
    <w:p>
      <w:pPr>
        <w:pStyle w:val="Heading1"/>
      </w:pPr>
      <w:r>
        <w:t>4. Why not cross-encode the entire collection first?</w:t>
      </w:r>
    </w:p>
    <w:p>
      <w:r>
        <w:t>A cross-encoder must run joint attention separately for every query-passage pair. Scoring all 307 chunks would require 307 pairwise inferences per query, about 31 times the ten-passage reranking stage used here. The bi-encoder precomputes passage vectors and cheaply narrows the collection first; the cross-encoder then spends its higher per-pair cost on the strongest candidates, where finer token-level comparison can correct ranking errors.</w:t>
      </w:r>
    </w:p>
    <w:p>
      <w:pPr>
        <w:spacing w:before="100" w:after="0"/>
      </w:pPr>
      <w:r>
        <w:rPr>
          <w:color w:val="5A6670"/>
          <w:sz w:val="15"/>
        </w:rPr>
        <w:t xml:space="preserve">NIST SP 800-63B-4 (July 2025); 307 chunks; all-MiniLM-L6-v2 bi-encoder; ms-marco-MiniLM-L-6-v2 cross-encoder; Gemini 3.5 Flash-Lite. https://doi.org/10.6028/NIST.SP.800-63B-4. Notebook: </w:t>
      </w:r>
      <w:hyperlink r:id="rId9">
        <w:r>
          <w:rPr>
            <w:color w:val="087E8B"/>
            <w:u w:val="single"/>
          </w:rPr>
          <w:t>open notebook on GitHub</w:t>
        </w:r>
      </w:hyperlink>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6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nilResearch0891/rag-assignment/blob/main/notebooks/nist_rag_reranking.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Retrieval and Reranking Evaluation</dc:title>
  <dc:subject>Failure mode analysis, rank shifts, LLM answer comparison, latency, and scaling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