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MEDIATION BRIEF</w:t>
      </w:r>
    </w:p>
    <w:p>
      <w:pPr>
        <w:jc w:val="center"/>
      </w:pPr>
      <w:r>
        <w:t>O.S. No. 412/2023 — A. Sundaram vs P. Mohan</w:t>
        <w:br/>
        <w:t>City Civil Court, Chennai</w:t>
        <w:br/>
        <w:t>Prepared for the mediation sitting on 18 March 2024</w:t>
      </w:r>
    </w:p>
    <w:p>
      <w:pPr>
        <w:pStyle w:val="Heading1"/>
      </w:pPr>
      <w:r>
        <w:t>1. Background</w:t>
      </w:r>
    </w:p>
    <w:p>
      <w:r>
        <w:t>A. Sundaram (plaintiff) is the owner of the premises at No. 22, Anna Salai, Chennai, let to P. Mohan (defendant) under a registered lease dated 1 June 2019 at a monthly rent of Rs. 18,000. The defendant stopped paying rent from January 2022 and did not vacate after the lease was terminated by notice. The plaintiff filed O.S. No. 412/2023 before the City Civil Court, Chennai. After evidence, the Court referred the parties to mediation; the sitting is on 18 March 2024.</w:t>
      </w:r>
    </w:p>
    <w:p>
      <w:pPr>
        <w:pStyle w:val="Heading1"/>
      </w:pPr>
      <w:r>
        <w:t>2. Reliefs claimed</w:t>
      </w:r>
    </w:p>
    <w:p>
      <w:r>
        <w:t>Recovery of possession of the suit premises; arrears of rent of Rs. 4,32,000 for the period January 2022 to December 2023; mesne profits from the date of suit until possession is delivered; and costs of the suit.</w:t>
      </w:r>
    </w:p>
    <w:p>
      <w:pPr>
        <w:pStyle w:val="Heading1"/>
      </w:pPr>
      <w:r>
        <w:t>3. Settlement options</w:t>
      </w:r>
    </w:p>
    <w:p>
      <w:pPr>
        <w:pStyle w:val="ListNumber"/>
      </w:pPr>
      <w:r>
        <w:t>Restoration of vacant possession within 60 days of the settlement.</w:t>
      </w:r>
    </w:p>
    <w:p>
      <w:pPr>
        <w:pStyle w:val="ListNumber"/>
      </w:pPr>
      <w:r>
        <w:t>Arrears paid in four equal monthly instalments, the first on signing.</w:t>
      </w:r>
    </w:p>
    <w:p>
      <w:pPr>
        <w:pStyle w:val="ListNumber"/>
      </w:pPr>
      <w:r>
        <w:t>The security deposit of Rs. 1,00,000 adjusted against the last instalment.</w:t>
      </w:r>
    </w:p>
    <w:p>
      <w:pPr>
        <w:pStyle w:val="ListNumber"/>
      </w:pPr>
      <w:r>
        <w:t>Each side bears its own costs, and the suit is withdrawn on full performance.</w:t>
      </w:r>
    </w:p>
    <w:p>
      <w:pPr>
        <w:pStyle w:val="ListNumber"/>
      </w:pPr>
      <w:r>
        <w:t>Fallback: if possession is not restored within the agreed period, the plaintiff presses for a decree for possession with mesne profits from the date of suit.</w:t>
      </w:r>
    </w:p>
    <w:p>
      <w:pPr>
        <w:pStyle w:val="Heading1"/>
      </w:pPr>
      <w:r>
        <w:t>4. Points to confirm with the client</w:t>
      </w:r>
    </w:p>
    <w:p>
      <w:pPr>
        <w:pStyle w:val="ListBullet"/>
      </w:pPr>
      <w:r>
        <w:t>The minimum arrears acceptable in settlement.</w:t>
      </w:r>
    </w:p>
    <w:p>
      <w:pPr>
        <w:pStyle w:val="ListBullet"/>
      </w:pPr>
      <w:r>
        <w:t>The latest date by which the defendant must vacate.</w:t>
      </w:r>
    </w:p>
    <w:p>
      <w:pPr>
        <w:pStyle w:val="ListBullet"/>
      </w:pPr>
      <w:r>
        <w:t>Whether the security deposit may be adjusted against arrears.</w:t>
      </w:r>
    </w:p>
    <w:p>
      <w:pPr>
        <w:pStyle w:val="ListBullet"/>
      </w:pPr>
      <w:r>
        <w:t>Whether the client will waive mesne profits in exchange for early possession.</w:t>
      </w:r>
    </w:p>
    <w:p>
      <w:r>
        <w:br/>
        <w:t>Prepared by: [[Advocate Name]]</w:t>
        <w:br/>
        <w:t>Date: [[Date]]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