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8"/>
          <w:szCs w:val="28"/>
        </w:rPr>
        <w:t xml:space="preserve">GAUHATI UNIVERSITY</w:t>
      </w:r>
    </w:p>
    <w:p>
      <w:pPr>
        <w:spacing w:after="120"/>
        <w:jc w:val="center"/>
      </w:pPr>
      <w:r>
        <w:rPr>
          <w:rFonts w:ascii="Times New Roman" w:cs="Times New Roman" w:eastAsia="Times New Roman" w:hAnsi="Times New Roman"/>
          <w:b/>
          <w:bCs/>
          <w:sz w:val="26"/>
          <w:szCs w:val="26"/>
        </w:rPr>
        <w:t xml:space="preserve">DEPARTMENT OF INFORMATION TECHNOLOGY</w:t>
      </w:r>
    </w:p>
    <w:p>
      <w:pPr>
        <w:spacing w:after="120"/>
        <w:jc w:val="center"/>
      </w:pPr>
      <w:r>
        <w:rPr>
          <w:rFonts w:ascii="Times New Roman" w:cs="Times New Roman" w:eastAsia="Times New Roman" w:hAnsi="Times New Roman"/>
          <w:sz w:val="22"/>
          <w:szCs w:val="22"/>
        </w:rPr>
        <w:t xml:space="preserve">Gopinath Bordoloi Nagar, Jalukbari, Guwahati - 781014</w:t>
      </w:r>
    </w:p>
    <w:p>
      <w:pPr>
        <w:spacing w:line="360" w:lineRule="auto"/>
      </w:pPr>
      <w:r>
        <w:t xml:space="preserve"/>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8"/>
          <w:szCs w:val="28"/>
        </w:rPr>
        <w:t xml:space="preserve">TERRALEDGER: A DECENTRALIZED AND HIGH AVAILABILITY</w:t>
      </w:r>
    </w:p>
    <w:p>
      <w:pPr>
        <w:spacing w:after="120"/>
        <w:jc w:val="center"/>
      </w:pPr>
      <w:r>
        <w:rPr>
          <w:rFonts w:ascii="Times New Roman" w:cs="Times New Roman" w:eastAsia="Times New Roman" w:hAnsi="Times New Roman"/>
          <w:b/>
          <w:bCs/>
          <w:sz w:val="28"/>
          <w:szCs w:val="28"/>
        </w:rPr>
        <w:t xml:space="preserve">FRAMEWORK FOR LAND REGISTRY MODERNIZATION</w:t>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2"/>
          <w:szCs w:val="22"/>
        </w:rPr>
        <w:t xml:space="preserve">REPORT SUBMITTED IN PARTIAL FULFILLMENT OF THE REQUIREMENT FOR THE DEGREE OF</w:t>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BACHELOR OF TECHNOLOGY</w:t>
      </w:r>
    </w:p>
    <w:p>
      <w:pPr>
        <w:spacing w:after="120"/>
        <w:jc w:val="center"/>
      </w:pPr>
      <w:r>
        <w:rPr>
          <w:rFonts w:ascii="Times New Roman" w:cs="Times New Roman" w:eastAsia="Times New Roman" w:hAnsi="Times New Roman"/>
          <w:b/>
          <w:bCs/>
          <w:sz w:val="24"/>
          <w:szCs w:val="24"/>
        </w:rPr>
        <w:t xml:space="preserve">IN</w:t>
      </w:r>
    </w:p>
    <w:p>
      <w:pPr>
        <w:spacing w:after="120"/>
        <w:jc w:val="center"/>
      </w:pPr>
      <w:r>
        <w:rPr>
          <w:rFonts w:ascii="Times New Roman" w:cs="Times New Roman" w:eastAsia="Times New Roman" w:hAnsi="Times New Roman"/>
          <w:b/>
          <w:bCs/>
          <w:sz w:val="24"/>
          <w:szCs w:val="24"/>
        </w:rPr>
        <w:t xml:space="preserve">INFORMATION TECHNOLOGY</w:t>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By</w:t>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Anilabh Barua</w:t>
      </w:r>
    </w:p>
    <w:p>
      <w:pPr>
        <w:jc w:val="center"/>
      </w:pPr>
      <w:r>
        <w:rPr>
          <w:rFonts w:ascii="Times New Roman" w:cs="Times New Roman" w:eastAsia="Times New Roman" w:hAnsi="Times New Roman"/>
          <w:b/>
          <w:bCs/>
          <w:sz w:val="22"/>
          <w:szCs w:val="22"/>
        </w:rPr>
        <w:t xml:space="preserve">Roll Number: [ROLL NO.]</w:t>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Rishikesh Verma</w:t>
      </w:r>
    </w:p>
    <w:p>
      <w:pPr>
        <w:jc w:val="center"/>
      </w:pPr>
      <w:r>
        <w:rPr>
          <w:rFonts w:ascii="Times New Roman" w:cs="Times New Roman" w:eastAsia="Times New Roman" w:hAnsi="Times New Roman"/>
          <w:b/>
          <w:bCs/>
          <w:sz w:val="22"/>
          <w:szCs w:val="22"/>
        </w:rPr>
        <w:t xml:space="preserve">Roll Number: [ROLL NO.]</w:t>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2"/>
          <w:szCs w:val="22"/>
        </w:rPr>
        <w:t xml:space="preserve">UNDER THE GUIDANCE OF</w:t>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Dr. Satyajit Sarmah</w:t>
      </w:r>
    </w:p>
    <w:p>
      <w:pPr>
        <w:spacing w:after="120"/>
        <w:jc w:val="center"/>
      </w:pPr>
      <w:r>
        <w:rPr>
          <w:rFonts w:ascii="Times New Roman" w:cs="Times New Roman" w:eastAsia="Times New Roman" w:hAnsi="Times New Roman"/>
          <w:sz w:val="22"/>
          <w:szCs w:val="22"/>
        </w:rPr>
        <w:t xml:space="preserve">Department of Information Technology, Gauhati University</w:t>
      </w:r>
    </w:p>
    <w:p>
      <w:pPr>
        <w:spacing w:line="360" w:lineRule="auto"/>
      </w:pPr>
      <w:r>
        <w:t xml:space="preserve"/>
      </w:r>
    </w:p>
    <w:p>
      <w:pPr>
        <w:spacing w:line="360" w:lineRule="auto"/>
      </w:pPr>
      <w:r>
        <w:t xml:space="preserve"/>
      </w:r>
    </w:p>
    <w:p>
      <w:pPr>
        <w:spacing w:line="360" w:lineRule="auto"/>
      </w:pPr>
      <w:r>
        <w:t xml:space="preserve"/>
      </w:r>
    </w:p>
    <w:p>
      <w:pPr>
        <w:spacing w:after="120"/>
        <w:jc w:val="center"/>
      </w:pPr>
      <w:r>
        <w:rPr>
          <w:rFonts w:ascii="Times New Roman" w:cs="Times New Roman" w:eastAsia="Times New Roman" w:hAnsi="Times New Roman"/>
          <w:b/>
          <w:bCs/>
          <w:sz w:val="26"/>
          <w:szCs w:val="26"/>
        </w:rPr>
        <w:t xml:space="preserve">DEPARTMENT OF INFORMATION TECHNOLOGY</w:t>
      </w:r>
    </w:p>
    <w:p>
      <w:pPr>
        <w:spacing w:after="120"/>
        <w:jc w:val="center"/>
      </w:pPr>
      <w:r>
        <w:rPr>
          <w:rFonts w:ascii="Times New Roman" w:cs="Times New Roman" w:eastAsia="Times New Roman" w:hAnsi="Times New Roman"/>
          <w:b/>
          <w:bCs/>
          <w:sz w:val="26"/>
          <w:szCs w:val="26"/>
        </w:rPr>
        <w:t xml:space="preserve">GAUHATI UNIVERSITY</w:t>
      </w:r>
    </w:p>
    <w:p>
      <w:pPr>
        <w:spacing w:after="120"/>
        <w:jc w:val="center"/>
      </w:pPr>
      <w:r>
        <w:rPr>
          <w:rFonts w:ascii="Times New Roman" w:cs="Times New Roman" w:eastAsia="Times New Roman" w:hAnsi="Times New Roman"/>
          <w:b/>
          <w:bCs/>
          <w:sz w:val="26"/>
          <w:szCs w:val="26"/>
        </w:rPr>
        <w:t xml:space="preserve">GUWAHATI, INDIA</w:t>
      </w:r>
    </w:p>
    <w:p>
      <w:pPr>
        <w:spacing w:line="360" w:lineRule="auto"/>
      </w:pPr>
      <w:r>
        <w:t xml:space="preserve"/>
      </w:r>
    </w:p>
    <w:p>
      <w:pPr>
        <w:spacing w:after="120"/>
        <w:jc w:val="center"/>
      </w:pPr>
      <w:r>
        <w:rPr>
          <w:rFonts w:ascii="Times New Roman" w:cs="Times New Roman" w:eastAsia="Times New Roman" w:hAnsi="Times New Roman"/>
          <w:b/>
          <w:bCs/>
          <w:sz w:val="24"/>
          <w:szCs w:val="24"/>
        </w:rPr>
        <w:t xml:space="preserve">MAY - 2026</w:t>
      </w:r>
    </w:p>
    <w:p>
      <w:r>
        <w:br w:type="page"/>
      </w:r>
    </w:p>
    <w:p>
      <w:pPr>
        <w:spacing w:after="120"/>
        <w:jc w:val="center"/>
      </w:pPr>
      <w:r>
        <w:rPr>
          <w:rFonts w:ascii="Times New Roman" w:cs="Times New Roman" w:eastAsia="Times New Roman" w:hAnsi="Times New Roman"/>
          <w:b/>
          <w:bCs/>
          <w:sz w:val="26"/>
          <w:szCs w:val="26"/>
        </w:rPr>
        <w:t xml:space="preserve">GAUHATI UNIVERSITY</w:t>
      </w:r>
    </w:p>
    <w:p>
      <w:pPr>
        <w:spacing w:after="120"/>
        <w:jc w:val="center"/>
      </w:pPr>
      <w:r>
        <w:rPr>
          <w:rFonts w:ascii="Times New Roman" w:cs="Times New Roman" w:eastAsia="Times New Roman" w:hAnsi="Times New Roman"/>
          <w:b/>
          <w:bCs/>
          <w:sz w:val="24"/>
          <w:szCs w:val="24"/>
        </w:rPr>
        <w:t xml:space="preserve">DEPARTMENT OF INFORMATION TECHNOLOGY</w:t>
      </w:r>
    </w:p>
    <w:p>
      <w:pPr>
        <w:spacing w:after="120"/>
        <w:jc w:val="center"/>
      </w:pPr>
      <w:r>
        <w:rPr>
          <w:rFonts w:ascii="Times New Roman" w:cs="Times New Roman" w:eastAsia="Times New Roman" w:hAnsi="Times New Roman"/>
          <w:sz w:val="22"/>
          <w:szCs w:val="22"/>
        </w:rPr>
        <w:t xml:space="preserve">Gopinath Bordoloi Nagar, Jalukbari Guwahati-781014</w:t>
      </w:r>
    </w:p>
    <w:p>
      <w:pPr>
        <w:spacing w:line="360" w:lineRule="auto"/>
      </w:pPr>
      <w:r>
        <w:t xml:space="preserve"/>
      </w:r>
    </w:p>
    <w:p>
      <w:pPr>
        <w:spacing w:after="360" w:before="0"/>
        <w:jc w:val="center"/>
      </w:pPr>
      <w:r>
        <w:rPr>
          <w:rFonts w:ascii="Times New Roman" w:cs="Times New Roman" w:eastAsia="Times New Roman" w:hAnsi="Times New Roman"/>
          <w:b/>
          <w:bCs/>
          <w:sz w:val="28"/>
          <w:szCs w:val="28"/>
          <w:u w:val="single"/>
        </w:rPr>
        <w:t xml:space="preserve">DECLARATION</w:t>
      </w:r>
    </w:p>
    <w:p>
      <w:pPr>
        <w:spacing w:after="160" w:line="360" w:lineRule="auto"/>
        <w:jc w:val="both"/>
      </w:pPr>
      <w:r>
        <w:rPr>
          <w:rFonts w:ascii="Times New Roman" w:cs="Times New Roman" w:eastAsia="Times New Roman" w:hAnsi="Times New Roman"/>
          <w:sz w:val="24"/>
          <w:szCs w:val="24"/>
        </w:rPr>
        <w:t xml:space="preserve">We, Anilabh Barua and Rishikesh Verma, Roll No. [ROLL NO.], B.Tech. students of the Department of Information Technology, Gauhati University, hereby declare that we have compiled this report reflecting all our work during the semester-long full-time project as part of our B.Tech. curriculum.</w:t>
      </w:r>
    </w:p>
    <w:p>
      <w:pPr>
        <w:spacing w:after="160" w:line="360" w:lineRule="auto"/>
        <w:jc w:val="both"/>
      </w:pPr>
      <w:r>
        <w:rPr>
          <w:rFonts w:ascii="Times New Roman" w:cs="Times New Roman" w:eastAsia="Times New Roman" w:hAnsi="Times New Roman"/>
          <w:sz w:val="24"/>
          <w:szCs w:val="24"/>
        </w:rPr>
        <w:t xml:space="preserve">We declare that we have included descriptions, design, implementation, and analysis of our project work, and nothing has been copied or replicated from others' work without proper citation. The facts, figures, analysis, results, and claims depicted in this report are all related to our full-time project work entitled "TerraLedger: A Decentralized and High Availability Framework for Land Registry Modernization."</w:t>
      </w:r>
    </w:p>
    <w:p>
      <w:pPr>
        <w:spacing w:after="160" w:line="360" w:lineRule="auto"/>
        <w:jc w:val="both"/>
      </w:pPr>
      <w:r>
        <w:rPr>
          <w:rFonts w:ascii="Times New Roman" w:cs="Times New Roman" w:eastAsia="Times New Roman" w:hAnsi="Times New Roman"/>
          <w:sz w:val="24"/>
          <w:szCs w:val="24"/>
        </w:rPr>
        <w:t xml:space="preserve">We also declare that the same report or any substantial portion of this report has not been submitted anywhere else for any degree or diploma.</w:t>
      </w:r>
    </w:p>
    <w:p>
      <w:pPr>
        <w:spacing w:line="360" w:lineRule="auto"/>
      </w:pPr>
      <w:r>
        <w:t xml:space="preserve"/>
      </w:r>
    </w:p>
    <w:p>
      <w:pPr>
        <w:spacing w:line="360" w:lineRule="auto"/>
      </w:pPr>
      <w:r>
        <w:t xml:space="preserve"/>
      </w:r>
    </w:p>
    <w:p>
      <w:pPr>
        <w:spacing w:line="360" w:lineRule="auto"/>
      </w:pPr>
      <w:r>
        <w:t xml:space="preserve"/>
      </w:r>
    </w:p>
    <w:p>
      <w:pPr>
        <w:spacing w:after="80"/>
      </w:pPr>
      <w:r>
        <w:rPr>
          <w:rFonts w:ascii="Times New Roman" w:cs="Times New Roman" w:eastAsia="Times New Roman" w:hAnsi="Times New Roman"/>
          <w:sz w:val="24"/>
          <w:szCs w:val="24"/>
        </w:rPr>
        <w:t xml:space="preserve">(Anilabh Barua)</w:t>
      </w:r>
    </w:p>
    <w:p>
      <w:pPr>
        <w:spacing w:after="80"/>
      </w:pPr>
      <w:r>
        <w:rPr>
          <w:rFonts w:ascii="Times New Roman" w:cs="Times New Roman" w:eastAsia="Times New Roman" w:hAnsi="Times New Roman"/>
          <w:sz w:val="24"/>
          <w:szCs w:val="24"/>
        </w:rPr>
        <w:t xml:space="preserve">(Rishikesh Verma)</w:t>
      </w:r>
    </w:p>
    <w:p>
      <w:pPr>
        <w:spacing w:after="80"/>
      </w:pPr>
      <w:r>
        <w:rPr>
          <w:rFonts w:ascii="Times New Roman" w:cs="Times New Roman" w:eastAsia="Times New Roman" w:hAnsi="Times New Roman"/>
          <w:sz w:val="24"/>
          <w:szCs w:val="24"/>
        </w:rPr>
        <w:t xml:space="preserve">Branch: Information Technology</w:t>
      </w:r>
    </w:p>
    <w:p>
      <w:r>
        <w:rPr>
          <w:rFonts w:ascii="Times New Roman" w:cs="Times New Roman" w:eastAsia="Times New Roman" w:hAnsi="Times New Roman"/>
          <w:sz w:val="24"/>
          <w:szCs w:val="24"/>
        </w:rPr>
        <w:t xml:space="preserve">Date: _______________</w:t>
      </w:r>
    </w:p>
    <w:p>
      <w:r>
        <w:br w:type="page"/>
      </w:r>
    </w:p>
    <w:p>
      <w:pPr>
        <w:spacing w:after="120"/>
        <w:jc w:val="center"/>
      </w:pPr>
      <w:r>
        <w:rPr>
          <w:rFonts w:ascii="Times New Roman" w:cs="Times New Roman" w:eastAsia="Times New Roman" w:hAnsi="Times New Roman"/>
          <w:b/>
          <w:bCs/>
          <w:sz w:val="26"/>
          <w:szCs w:val="26"/>
        </w:rPr>
        <w:t xml:space="preserve">GAUHATI UNIVERSITY</w:t>
      </w:r>
    </w:p>
    <w:p>
      <w:pPr>
        <w:spacing w:after="120"/>
        <w:jc w:val="center"/>
      </w:pPr>
      <w:r>
        <w:rPr>
          <w:rFonts w:ascii="Times New Roman" w:cs="Times New Roman" w:eastAsia="Times New Roman" w:hAnsi="Times New Roman"/>
          <w:b/>
          <w:bCs/>
          <w:sz w:val="24"/>
          <w:szCs w:val="24"/>
        </w:rPr>
        <w:t xml:space="preserve">DEPARTMENT OF INFORMATION TECHNOLOGY</w:t>
      </w:r>
    </w:p>
    <w:p>
      <w:pPr>
        <w:spacing w:after="120"/>
        <w:jc w:val="center"/>
      </w:pPr>
      <w:r>
        <w:rPr>
          <w:rFonts w:ascii="Times New Roman" w:cs="Times New Roman" w:eastAsia="Times New Roman" w:hAnsi="Times New Roman"/>
          <w:sz w:val="22"/>
          <w:szCs w:val="22"/>
        </w:rPr>
        <w:t xml:space="preserve">Gopinath Bordoloi Nagar, Jalukbari Guwahati-781014</w:t>
      </w:r>
    </w:p>
    <w:p>
      <w:pPr>
        <w:spacing w:line="360" w:lineRule="auto"/>
      </w:pPr>
      <w:r>
        <w:t xml:space="preserve"/>
      </w:r>
    </w:p>
    <w:p>
      <w:pPr>
        <w:jc w:val="right"/>
      </w:pPr>
      <w:r>
        <w:rPr>
          <w:rFonts w:ascii="Times New Roman" w:cs="Times New Roman" w:eastAsia="Times New Roman" w:hAnsi="Times New Roman"/>
          <w:sz w:val="24"/>
          <w:szCs w:val="24"/>
        </w:rPr>
        <w:t xml:space="preserve">Date: _______________</w:t>
      </w:r>
    </w:p>
    <w:p>
      <w:pPr>
        <w:spacing w:line="360" w:lineRule="auto"/>
      </w:pPr>
      <w:r>
        <w:t xml:space="preserve"/>
      </w:r>
    </w:p>
    <w:p>
      <w:pPr>
        <w:spacing w:after="360" w:before="0"/>
        <w:jc w:val="center"/>
      </w:pPr>
      <w:r>
        <w:rPr>
          <w:rFonts w:ascii="Times New Roman" w:cs="Times New Roman" w:eastAsia="Times New Roman" w:hAnsi="Times New Roman"/>
          <w:b/>
          <w:bCs/>
          <w:sz w:val="28"/>
          <w:szCs w:val="28"/>
          <w:u w:val="single"/>
        </w:rPr>
        <w:t xml:space="preserve">CERTIFICATE</w:t>
      </w:r>
    </w:p>
    <w:p>
      <w:pPr>
        <w:spacing w:after="160" w:line="360" w:lineRule="auto"/>
        <w:jc w:val="both"/>
      </w:pPr>
      <w:r>
        <w:rPr>
          <w:rFonts w:ascii="Times New Roman" w:cs="Times New Roman" w:eastAsia="Times New Roman" w:hAnsi="Times New Roman"/>
          <w:sz w:val="24"/>
          <w:szCs w:val="24"/>
        </w:rPr>
        <w:t xml:space="preserve">This is to certify that Anilabh Barua and Rishikesh Verma bearing Roll No. [ROLL NO.] have carried out the project work "TerraLedger: A Decentralized and High Availability Framework for Land Registry Modernization" under my supervision and have compiled this report reflecting the candidates' work in the semester-long project. The candidates undertook this project full time during the whole semester under my supervision, and the analysis, results, and claims are all related to their studies and works during the semester.</w:t>
      </w:r>
    </w:p>
    <w:p>
      <w:pPr>
        <w:spacing w:after="160" w:line="360" w:lineRule="auto"/>
        <w:jc w:val="both"/>
      </w:pPr>
      <w:r>
        <w:rPr>
          <w:rFonts w:ascii="Times New Roman" w:cs="Times New Roman" w:eastAsia="Times New Roman" w:hAnsi="Times New Roman"/>
          <w:sz w:val="24"/>
          <w:szCs w:val="24"/>
        </w:rPr>
        <w:t xml:space="preserve">I recommend submission of this project report as a part for partial fulfillment of the requirements for the degree of Bachelor of Technology in Information Technology of Gauhati University.</w:t>
      </w:r>
    </w:p>
    <w:p>
      <w:pPr>
        <w:spacing w:line="360" w:lineRule="auto"/>
      </w:pPr>
      <w:r>
        <w:t xml:space="preserve"/>
      </w:r>
    </w:p>
    <w:p>
      <w:pPr>
        <w:spacing w:line="360" w:lineRule="auto"/>
      </w:pPr>
      <w:r>
        <w:t xml:space="preserve"/>
      </w:r>
    </w:p>
    <w:p>
      <w:pPr>
        <w:spacing w:line="360" w:lineRule="auto"/>
      </w:pPr>
      <w:r>
        <w:t xml:space="preserve"/>
      </w:r>
    </w:p>
    <w:p>
      <w:pPr>
        <w:spacing w:after="80"/>
      </w:pPr>
      <w:r>
        <w:rPr>
          <w:rFonts w:ascii="Times New Roman" w:cs="Times New Roman" w:eastAsia="Times New Roman" w:hAnsi="Times New Roman"/>
          <w:sz w:val="24"/>
          <w:szCs w:val="24"/>
        </w:rPr>
        <w:t xml:space="preserve">(Dr. Satyajit Sarmah)</w:t>
      </w:r>
    </w:p>
    <w:p>
      <w:pPr>
        <w:spacing w:after="80"/>
      </w:pPr>
      <w:r>
        <w:rPr>
          <w:rFonts w:ascii="Times New Roman" w:cs="Times New Roman" w:eastAsia="Times New Roman" w:hAnsi="Times New Roman"/>
          <w:sz w:val="24"/>
          <w:szCs w:val="24"/>
        </w:rPr>
        <w:t xml:space="preserve">Department of Information Technology</w:t>
      </w:r>
    </w:p>
    <w:p>
      <w:r>
        <w:rPr>
          <w:rFonts w:ascii="Times New Roman" w:cs="Times New Roman" w:eastAsia="Times New Roman" w:hAnsi="Times New Roman"/>
          <w:sz w:val="24"/>
          <w:szCs w:val="24"/>
        </w:rPr>
        <w:t xml:space="preserve">Gauhati University, Guwahati - 781014</w:t>
      </w:r>
    </w:p>
    <w:p>
      <w:r>
        <w:br w:type="page"/>
      </w:r>
    </w:p>
    <w:p>
      <w:pPr>
        <w:spacing w:after="120"/>
        <w:jc w:val="center"/>
      </w:pPr>
      <w:r>
        <w:rPr>
          <w:rFonts w:ascii="Times New Roman" w:cs="Times New Roman" w:eastAsia="Times New Roman" w:hAnsi="Times New Roman"/>
          <w:b/>
          <w:bCs/>
          <w:sz w:val="26"/>
          <w:szCs w:val="26"/>
        </w:rPr>
        <w:t xml:space="preserve">GAUHATI UNIVERSITY</w:t>
      </w:r>
    </w:p>
    <w:p>
      <w:pPr>
        <w:spacing w:after="120"/>
        <w:jc w:val="center"/>
      </w:pPr>
      <w:r>
        <w:rPr>
          <w:rFonts w:ascii="Times New Roman" w:cs="Times New Roman" w:eastAsia="Times New Roman" w:hAnsi="Times New Roman"/>
          <w:b/>
          <w:bCs/>
          <w:sz w:val="24"/>
          <w:szCs w:val="24"/>
        </w:rPr>
        <w:t xml:space="preserve">DEPARTMENT OF INFORMATION TECHNOLOGY</w:t>
      </w:r>
    </w:p>
    <w:p>
      <w:pPr>
        <w:spacing w:after="120"/>
        <w:jc w:val="center"/>
      </w:pPr>
      <w:r>
        <w:rPr>
          <w:rFonts w:ascii="Times New Roman" w:cs="Times New Roman" w:eastAsia="Times New Roman" w:hAnsi="Times New Roman"/>
          <w:sz w:val="22"/>
          <w:szCs w:val="22"/>
        </w:rPr>
        <w:t xml:space="preserve">Gopinath Bordoloi Nagar, Jalukbari Guwahati-781014</w:t>
      </w:r>
    </w:p>
    <w:p>
      <w:pPr>
        <w:spacing w:line="360" w:lineRule="auto"/>
      </w:pPr>
      <w:r>
        <w:t xml:space="preserve"/>
      </w:r>
    </w:p>
    <w:p>
      <w:pPr>
        <w:spacing w:after="360" w:before="0"/>
        <w:jc w:val="center"/>
      </w:pPr>
      <w:r>
        <w:rPr>
          <w:rFonts w:ascii="Times New Roman" w:cs="Times New Roman" w:eastAsia="Times New Roman" w:hAnsi="Times New Roman"/>
          <w:b/>
          <w:bCs/>
          <w:sz w:val="28"/>
          <w:szCs w:val="28"/>
          <w:u w:val="single"/>
        </w:rPr>
        <w:t xml:space="preserve">EXTERNAL EXAMINER'S CERTIFICATE</w:t>
      </w:r>
    </w:p>
    <w:p>
      <w:pPr>
        <w:spacing w:after="160" w:line="360" w:lineRule="auto"/>
        <w:jc w:val="both"/>
      </w:pPr>
      <w:r>
        <w:rPr>
          <w:rFonts w:ascii="Times New Roman" w:cs="Times New Roman" w:eastAsia="Times New Roman" w:hAnsi="Times New Roman"/>
          <w:sz w:val="24"/>
          <w:szCs w:val="24"/>
        </w:rPr>
        <w:t xml:space="preserve">This is to certify that Anilabh Barua and Rishikesh Verma, bearing Roll No. [ROLL NO.], have delivered their project presentation on [DD/MM/YYYY] and I have examined their report entitled "TerraLedger: A Decentralized and High Availability Framework for Land Registry Modernization" and recommend this project report as a part for partial fulfillment of the requirements for the degree of Bachelor of Technology in Information Technology of Gauhati University.</w:t>
      </w:r>
    </w:p>
    <w:p>
      <w:pPr>
        <w:spacing w:line="360" w:lineRule="auto"/>
      </w:pPr>
      <w:r>
        <w:t xml:space="preserve"/>
      </w:r>
    </w:p>
    <w:p>
      <w:pPr>
        <w:spacing w:line="360" w:lineRule="auto"/>
      </w:pPr>
      <w:r>
        <w:t xml:space="preserve"/>
      </w:r>
    </w:p>
    <w:p>
      <w:pPr>
        <w:spacing w:line="360" w:lineRule="auto"/>
      </w:pPr>
      <w:r>
        <w:t xml:space="preserve"/>
      </w:r>
    </w:p>
    <w:p>
      <w:pPr>
        <w:spacing w:after="80"/>
        <w:jc w:val="right"/>
      </w:pPr>
      <w:r>
        <w:rPr>
          <w:rFonts w:ascii="Times New Roman" w:cs="Times New Roman" w:eastAsia="Times New Roman" w:hAnsi="Times New Roman"/>
          <w:sz w:val="24"/>
          <w:szCs w:val="24"/>
        </w:rPr>
        <w:t xml:space="preserve">______________________________</w:t>
      </w:r>
    </w:p>
    <w:p>
      <w:pPr>
        <w:jc w:val="right"/>
      </w:pPr>
      <w:r>
        <w:rPr>
          <w:rFonts w:ascii="Times New Roman" w:cs="Times New Roman" w:eastAsia="Times New Roman" w:hAnsi="Times New Roman"/>
          <w:sz w:val="24"/>
          <w:szCs w:val="24"/>
        </w:rPr>
        <w:t xml:space="preserve">(External Examiner)</w:t>
      </w:r>
    </w:p>
    <w:p>
      <w:r>
        <w:br w:type="page"/>
      </w:r>
    </w:p>
    <w:p>
      <w:pPr>
        <w:spacing w:after="360" w:before="0"/>
        <w:jc w:val="center"/>
      </w:pPr>
      <w:r>
        <w:rPr>
          <w:rFonts w:ascii="Times New Roman" w:cs="Times New Roman" w:eastAsia="Times New Roman" w:hAnsi="Times New Roman"/>
          <w:b/>
          <w:bCs/>
          <w:sz w:val="28"/>
          <w:szCs w:val="28"/>
          <w:u w:val="single"/>
        </w:rPr>
        <w:t xml:space="preserve">ACKNOWLEDGMENTS</w:t>
      </w:r>
    </w:p>
    <w:p>
      <w:pPr>
        <w:spacing w:after="160" w:line="360" w:lineRule="auto"/>
        <w:jc w:val="both"/>
      </w:pPr>
      <w:r>
        <w:rPr>
          <w:rFonts w:ascii="Times New Roman" w:cs="Times New Roman" w:eastAsia="Times New Roman" w:hAnsi="Times New Roman"/>
          <w:sz w:val="24"/>
          <w:szCs w:val="24"/>
        </w:rPr>
        <w:t xml:space="preserve">We would like to express our deepest gratitude to our project supervisor, Dr. Satyajit Sarmah, Department of Information Technology, Gauhati University, for his invaluable guidance, continuous encouragement, and insightful feedback throughout the course of this project. His expertise in distributed systems and his willingness to engage with every technical challenge made this work possible.</w:t>
      </w:r>
    </w:p>
    <w:p>
      <w:pPr>
        <w:spacing w:after="160" w:line="360" w:lineRule="auto"/>
        <w:jc w:val="both"/>
      </w:pPr>
      <w:r>
        <w:rPr>
          <w:rFonts w:ascii="Times New Roman" w:cs="Times New Roman" w:eastAsia="Times New Roman" w:hAnsi="Times New Roman"/>
          <w:sz w:val="24"/>
          <w:szCs w:val="24"/>
        </w:rPr>
        <w:t xml:space="preserve">We are sincerely grateful to the Department of Information Technology, Gauhati University, for providing the computational resources, infrastructure, and an academically stimulating environment that enabled the development and testing of TerraLedger.</w:t>
      </w:r>
    </w:p>
    <w:p>
      <w:pPr>
        <w:spacing w:after="160" w:line="360" w:lineRule="auto"/>
        <w:jc w:val="both"/>
      </w:pPr>
      <w:r>
        <w:rPr>
          <w:rFonts w:ascii="Times New Roman" w:cs="Times New Roman" w:eastAsia="Times New Roman" w:hAnsi="Times New Roman"/>
          <w:sz w:val="24"/>
          <w:szCs w:val="24"/>
        </w:rPr>
        <w:t xml:space="preserve">We extend our appreciation to the broader open-source community — the teams behind Ethereum, OpenZeppelin, IPFS, Pinata, Hardhat, and the React ecosystem — whose tools and documentation formed the technical backbone of this project.</w:t>
      </w:r>
    </w:p>
    <w:p>
      <w:pPr>
        <w:spacing w:after="160" w:line="360" w:lineRule="auto"/>
        <w:jc w:val="both"/>
      </w:pPr>
      <w:r>
        <w:rPr>
          <w:rFonts w:ascii="Times New Roman" w:cs="Times New Roman" w:eastAsia="Times New Roman" w:hAnsi="Times New Roman"/>
          <w:sz w:val="24"/>
          <w:szCs w:val="24"/>
        </w:rPr>
        <w:t xml:space="preserve">We also thank our fellow classmates and friends for their peer review, suggestions, and moral support during multiple rounds of testing.</w:t>
      </w:r>
    </w:p>
    <w:p>
      <w:pPr>
        <w:spacing w:after="160" w:line="360" w:lineRule="auto"/>
        <w:jc w:val="both"/>
      </w:pPr>
      <w:r>
        <w:rPr>
          <w:rFonts w:ascii="Times New Roman" w:cs="Times New Roman" w:eastAsia="Times New Roman" w:hAnsi="Times New Roman"/>
          <w:sz w:val="24"/>
          <w:szCs w:val="24"/>
        </w:rPr>
        <w:t xml:space="preserve">Finally, we acknowledge our families for their unwavering patience and encouragement throughout the academic year.</w:t>
      </w:r>
    </w:p>
    <w:p>
      <w:pPr>
        <w:spacing w:line="360" w:lineRule="auto"/>
      </w:pPr>
      <w:r>
        <w:t xml:space="preserve"/>
      </w:r>
    </w:p>
    <w:p>
      <w:pPr>
        <w:spacing w:line="360" w:lineRule="auto"/>
      </w:pPr>
      <w:r>
        <w:t xml:space="preserve"/>
      </w:r>
    </w:p>
    <w:p>
      <w:pPr>
        <w:spacing w:after="80"/>
        <w:jc w:val="right"/>
      </w:pPr>
      <w:r>
        <w:rPr>
          <w:rFonts w:ascii="Times New Roman" w:cs="Times New Roman" w:eastAsia="Times New Roman" w:hAnsi="Times New Roman"/>
          <w:sz w:val="24"/>
          <w:szCs w:val="24"/>
        </w:rPr>
        <w:t xml:space="preserve">Anilabh Barua</w:t>
      </w:r>
    </w:p>
    <w:p>
      <w:pPr>
        <w:jc w:val="right"/>
      </w:pPr>
      <w:r>
        <w:rPr>
          <w:rFonts w:ascii="Times New Roman" w:cs="Times New Roman" w:eastAsia="Times New Roman" w:hAnsi="Times New Roman"/>
          <w:sz w:val="24"/>
          <w:szCs w:val="24"/>
        </w:rPr>
        <w:t xml:space="preserve">Rishikesh Verma</w:t>
      </w:r>
    </w:p>
    <w:p>
      <w:r>
        <w:br w:type="page"/>
      </w:r>
    </w:p>
    <w:p>
      <w:pPr>
        <w:spacing w:after="360" w:before="0"/>
        <w:jc w:val="center"/>
      </w:pPr>
      <w:r>
        <w:rPr>
          <w:rFonts w:ascii="Times New Roman" w:cs="Times New Roman" w:eastAsia="Times New Roman" w:hAnsi="Times New Roman"/>
          <w:b/>
          <w:bCs/>
          <w:sz w:val="28"/>
          <w:szCs w:val="28"/>
          <w:u w:val="single"/>
        </w:rPr>
        <w:t xml:space="preserve">ABSTRACT</w:t>
      </w:r>
    </w:p>
    <w:p>
      <w:pPr>
        <w:spacing w:after="160" w:line="360" w:lineRule="auto"/>
        <w:jc w:val="both"/>
      </w:pPr>
      <w:r>
        <w:rPr>
          <w:rFonts w:ascii="Times New Roman" w:cs="Times New Roman" w:eastAsia="Times New Roman" w:hAnsi="Times New Roman"/>
          <w:sz w:val="24"/>
          <w:szCs w:val="24"/>
        </w:rPr>
        <w:t xml:space="preserve">India's land records management system is structurally fragile, relying on centralized SQL databases susceptible to single-point failures, administrative corruption, and document forgery. Land-related disputes constitute the majority of civil litigation in India, and in flood-prone states such as Assam, physical loss of paper deeds further complicates title establishment. Existing government initiatives such as DILRMP and state-level portals like Bhoomi and Dharani offer digitization without cryptographic guarantees, providing no independent verifiability for citizens.</w:t>
      </w:r>
    </w:p>
    <w:p>
      <w:pPr>
        <w:spacing w:after="160" w:line="360" w:lineRule="auto"/>
        <w:jc w:val="both"/>
      </w:pPr>
      <w:r>
        <w:rPr>
          <w:rFonts w:ascii="Times New Roman" w:cs="Times New Roman" w:eastAsia="Times New Roman" w:hAnsi="Times New Roman"/>
          <w:sz w:val="24"/>
          <w:szCs w:val="24"/>
        </w:rPr>
        <w:t xml:space="preserve">TerraLedger is a decentralized land registry framework built on the Ethereum Sepolia testnet, combining immutable blockchain records with IPFS document storage to provide conclusive, cryptographically secured land titles. The system implements a Role-Based Access Control (RBAC) hierarchy — Authority, Registrar, and Property Owner — enforced at the Ethereum Virtual Machine (EVM) level using OpenZeppelin's AccessControl contract. A trustless dual-signature ownership transfer mechanism models real-world legal procedures as a Finite State Machine (FSM), ensuring no single party can unilaterally alter ownership records.</w:t>
      </w:r>
    </w:p>
    <w:p>
      <w:pPr>
        <w:spacing w:after="160" w:line="360" w:lineRule="auto"/>
        <w:jc w:val="both"/>
      </w:pPr>
      <w:r>
        <w:rPr>
          <w:rFonts w:ascii="Times New Roman" w:cs="Times New Roman" w:eastAsia="Times New Roman" w:hAnsi="Times New Roman"/>
          <w:sz w:val="24"/>
          <w:szCs w:val="24"/>
        </w:rPr>
        <w:t xml:space="preserve">The system features a Zero-Trust document verification protocol wherein any citizen can independently audit any registered deed by comparing a SHA-256 hash of their local file against the IPFS-stored original, with a forgery probability of approximately 1 in 2^256. A dynamic RPC fallback architecture enables wallet-less read access, ensuring public accessibility without requiring MetaMask or cryptocurrency holdings.</w:t>
      </w:r>
    </w:p>
    <w:p>
      <w:pPr>
        <w:spacing w:after="160" w:line="360" w:lineRule="auto"/>
        <w:jc w:val="both"/>
      </w:pPr>
      <w:r>
        <w:rPr>
          <w:rFonts w:ascii="Times New Roman" w:cs="Times New Roman" w:eastAsia="Times New Roman" w:hAnsi="Times New Roman"/>
          <w:sz w:val="24"/>
          <w:szCs w:val="24"/>
        </w:rPr>
        <w:t xml:space="preserve">Empirical measurements on the Ethereum Sepolia testnet demonstrate economic viability: property registration consumes 244,229 gas at a transaction fee of approximately 0.00037 ETH at 1.505 Gwei, representing a 98.74% gas efficiency ratio. The end-to-end transaction lifecycle from IPFS document upload to blockchain confirmation is 15 to 42 seconds — several orders of magnitude faster than multi-week manual registry processes. The system is deployed on Cloudflare Pages CDN and is fully open-source.</w:t>
      </w:r>
    </w:p>
    <w:p>
      <w:pPr>
        <w:spacing w:after="160" w:line="360" w:lineRule="auto"/>
        <w:jc w:val="both"/>
      </w:pPr>
      <w:r>
        <w:rPr>
          <w:rFonts w:ascii="Times New Roman" w:cs="Times New Roman" w:eastAsia="Times New Roman" w:hAnsi="Times New Roman"/>
          <w:sz w:val="24"/>
          <w:szCs w:val="24"/>
        </w:rPr>
        <w:t xml:space="preserve">TerraLedger demonstrates that a production-ready, scalable, and economically viable decentralized land governance framework can be constructed on public blockchain infrastructure, providing features unavailable in any existing government or commercial system: IPFS document storage, zero-trust verification, wallet-less public access, and a full on-chain audit trail simultaneously.</w:t>
      </w:r>
    </w:p>
    <w:p>
      <w:pPr>
        <w:spacing w:line="360" w:lineRule="auto"/>
      </w:pPr>
      <w:r>
        <w:t xml:space="preserve"/>
      </w:r>
    </w:p>
    <w:p>
      <w:pPr>
        <w:spacing w:after="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Blockchain, Ethereum, Smart Contract, IPFS, Land Registry, RBAC, Zero-Trust Verification, Decentralized System, Solidity, Web3.</w:t>
      </w:r>
    </w:p>
    <w:p>
      <w:r>
        <w:br w:type="page"/>
      </w:r>
    </w:p>
    <w:p>
      <w:pPr>
        <w:spacing w:after="360" w:before="0"/>
        <w:jc w:val="center"/>
      </w:pPr>
      <w:r>
        <w:rPr>
          <w:rFonts w:ascii="Times New Roman" w:cs="Times New Roman" w:eastAsia="Times New Roman" w:hAnsi="Times New Roman"/>
          <w:b/>
          <w:bCs/>
          <w:sz w:val="28"/>
          <w:szCs w:val="28"/>
          <w:u w:val="singl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701" w:right="1701" w:bottom="1701" w:left="1701" w:header="708" w:footer="708" w:gutter="0"/>
          <w:pgNumType/>
          <w:docGrid w:linePitch="360"/>
        </w:sectPr>
      </w:pPr>
    </w:p>
    <w:p>
      <w:pPr>
        <w:pStyle w:val="Heading1"/>
        <w:spacing w:after="240" w:before="480" w:line="360" w:lineRule="auto"/>
      </w:pPr>
      <w:r>
        <w:rPr>
          <w:rFonts w:ascii="Times New Roman" w:cs="Times New Roman" w:eastAsia="Times New Roman" w:hAnsi="Times New Roman"/>
          <w:b/>
          <w:bCs/>
          <w:sz w:val="28"/>
          <w:szCs w:val="28"/>
        </w:rPr>
        <w:t xml:space="preserve">Chapter 1: Introduction</w:t>
      </w:r>
    </w:p>
    <w:p>
      <w:pPr>
        <w:pStyle w:val="Heading2"/>
        <w:spacing w:after="160" w:before="320" w:line="360" w:lineRule="auto"/>
      </w:pPr>
      <w:r>
        <w:rPr>
          <w:rFonts w:ascii="Times New Roman" w:cs="Times New Roman" w:eastAsia="Times New Roman" w:hAnsi="Times New Roman"/>
          <w:b/>
          <w:bCs/>
          <w:sz w:val="24"/>
          <w:szCs w:val="24"/>
        </w:rPr>
        <w:t xml:space="preserve">1.1 Background</w:t>
      </w:r>
    </w:p>
    <w:p>
      <w:pPr>
        <w:spacing w:after="160" w:line="360" w:lineRule="auto"/>
        <w:jc w:val="both"/>
      </w:pPr>
      <w:r>
        <w:rPr>
          <w:rFonts w:ascii="Times New Roman" w:cs="Times New Roman" w:eastAsia="Times New Roman" w:hAnsi="Times New Roman"/>
          <w:sz w:val="24"/>
          <w:szCs w:val="24"/>
        </w:rPr>
        <w:t xml:space="preserve">Land ownership is one of the most fundamental economic rights of citizens, serving as collateral for loans, the basis of agricultural livelihoods, and a primary store of generational wealth. In India, the legal framework governing land records is largely defined by the Registration Act of 1908, which mandates registration of property transactions but records the transaction event rather than absolute ownership — a critical legal distinction that is the root cause of title ambiguity and subsequent litigation.</w:t>
      </w:r>
    </w:p>
    <w:p>
      <w:pPr>
        <w:spacing w:after="160" w:line="360" w:lineRule="auto"/>
        <w:jc w:val="both"/>
      </w:pPr>
      <w:r>
        <w:rPr>
          <w:rFonts w:ascii="Times New Roman" w:cs="Times New Roman" w:eastAsia="Times New Roman" w:hAnsi="Times New Roman"/>
          <w:sz w:val="24"/>
          <w:szCs w:val="24"/>
        </w:rPr>
        <w:t xml:space="preserve">India's land records system remains structurally fragile despite decades of digitization efforts. Centralized SQL databases maintained by state revenue departments are vulnerable to server downtime, unauthorized administrative modifications, and catastrophic data loss. Multi-week manual verification processes involving multiple government departments create bureaucratic bottlenecks that delay economic activity. Paper deeds and digitized records alike can be altered by corrupt administrators with no cryptographic audit trail. Citizens have no means of independently verifying the authenticity of a document presented to them.</w:t>
      </w:r>
    </w:p>
    <w:p>
      <w:pPr>
        <w:spacing w:after="160" w:line="360" w:lineRule="auto"/>
        <w:jc w:val="both"/>
      </w:pPr>
      <w:r>
        <w:rPr>
          <w:rFonts w:ascii="Times New Roman" w:cs="Times New Roman" w:eastAsia="Times New Roman" w:hAnsi="Times New Roman"/>
          <w:sz w:val="24"/>
          <w:szCs w:val="24"/>
        </w:rPr>
        <w:t xml:space="preserve">Land-related disputes constitute the largest category of civil litigation in India's courts. The problem is acute in flood-prone regions such as Assam, where seasonal flooding regularly destroys physical land records, creating disputes that persist for generations. The Digital India Land Records Modernization Programme (DILRMP), launched by the Government of India, has made progress in digitization but stops short of providing cryptographic guarantees of record integrity or public verifiability.</w:t>
      </w:r>
    </w:p>
    <w:p>
      <w:pPr>
        <w:pStyle w:val="Heading2"/>
        <w:spacing w:after="160" w:before="320" w:line="360" w:lineRule="auto"/>
      </w:pPr>
      <w:r>
        <w:rPr>
          <w:rFonts w:ascii="Times New Roman" w:cs="Times New Roman" w:eastAsia="Times New Roman" w:hAnsi="Times New Roman"/>
          <w:b/>
          <w:bCs/>
          <w:sz w:val="24"/>
          <w:szCs w:val="24"/>
        </w:rPr>
        <w:t xml:space="preserve">1.2 Motivation</w:t>
      </w:r>
    </w:p>
    <w:p>
      <w:pPr>
        <w:spacing w:after="160" w:line="360" w:lineRule="auto"/>
        <w:jc w:val="both"/>
      </w:pPr>
      <w:r>
        <w:rPr>
          <w:rFonts w:ascii="Times New Roman" w:cs="Times New Roman" w:eastAsia="Times New Roman" w:hAnsi="Times New Roman"/>
          <w:sz w:val="24"/>
          <w:szCs w:val="24"/>
        </w:rPr>
        <w:t xml:space="preserve">The emergence of blockchain technology as a tamper-evident, distributed ledger presents an architectural solution to the systemic failures of centralized land registries. Public blockchains like Ethereum provide an immutable, publicly verifiable record of state transitions, governed by cryptographic consensus rather than administrative trust. The combination of smart contract-enforced access control with decentralized file storage creates an architecture where land records can be conclusive rather than presumptive — mathematically verifiable by any citizen with an internet connection.</w:t>
      </w:r>
    </w:p>
    <w:p>
      <w:pPr>
        <w:spacing w:after="160" w:line="360" w:lineRule="auto"/>
        <w:jc w:val="both"/>
      </w:pPr>
      <w:r>
        <w:rPr>
          <w:rFonts w:ascii="Times New Roman" w:cs="Times New Roman" w:eastAsia="Times New Roman" w:hAnsi="Times New Roman"/>
          <w:sz w:val="24"/>
          <w:szCs w:val="24"/>
        </w:rPr>
        <w:t xml:space="preserve">The specific motivation for TerraLedger arose from the recognition that while several academic and commercial blockchain land registry projects exist, none simultaneously provides IPFS-based document storage, zero-trust cryptographic verification, wallet-less public read access, and a full on-chain audit trail in an open-source, economically viable package. TerraLedger was designed to address this gap.</w:t>
      </w:r>
    </w:p>
    <w:p>
      <w:pPr>
        <w:pStyle w:val="Heading2"/>
        <w:spacing w:after="160" w:before="320" w:line="360" w:lineRule="auto"/>
      </w:pPr>
      <w:r>
        <w:rPr>
          <w:rFonts w:ascii="Times New Roman" w:cs="Times New Roman" w:eastAsia="Times New Roman" w:hAnsi="Times New Roman"/>
          <w:b/>
          <w:bCs/>
          <w:sz w:val="24"/>
          <w:szCs w:val="24"/>
        </w:rPr>
        <w:t xml:space="preserve">1.3 Problem Statement</w:t>
      </w:r>
    </w:p>
    <w:p>
      <w:pPr>
        <w:spacing w:after="160" w:line="360" w:lineRule="auto"/>
        <w:jc w:val="both"/>
      </w:pPr>
      <w:r>
        <w:rPr>
          <w:rFonts w:ascii="Times New Roman" w:cs="Times New Roman" w:eastAsia="Times New Roman" w:hAnsi="Times New Roman"/>
          <w:sz w:val="24"/>
          <w:szCs w:val="24"/>
        </w:rPr>
        <w:t xml:space="preserve">India's land records system exhibits four structural deficiencies that TerraLedger directly addresses: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Single Point of Failure: Centralized SQL databases are vulnerable to server downtime, unauthorized access, and catastrophic data loss with no cryptographic integrity guarantees.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Bureaucratic Bottlenecks: The Registration Act of 1908 records transactions rather than ownership, requiring multi-week manual verification processes spanning multiple government departments.</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Document Forgery: Paper deeds and digital entries can be altered by administrators without detection, as existing systems provide no cryptographic proof of document integrity.</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Lack of Public Verifiability: Citizens cannot independently verify land records. Systems such as DILRMP offer zero cryptographic audit trail and no independent verification mechanism.</w:t>
      </w:r>
    </w:p>
    <w:p>
      <w:pPr>
        <w:pStyle w:val="Heading2"/>
        <w:spacing w:after="160" w:before="320" w:line="360" w:lineRule="auto"/>
      </w:pPr>
      <w:r>
        <w:rPr>
          <w:rFonts w:ascii="Times New Roman" w:cs="Times New Roman" w:eastAsia="Times New Roman" w:hAnsi="Times New Roman"/>
          <w:b/>
          <w:bCs/>
          <w:sz w:val="24"/>
          <w:szCs w:val="24"/>
        </w:rPr>
        <w:t xml:space="preserve">1.4 Objectives</w:t>
      </w:r>
    </w:p>
    <w:p>
      <w:pPr>
        <w:spacing w:after="160" w:line="360" w:lineRule="auto"/>
        <w:jc w:val="both"/>
      </w:pPr>
      <w:r>
        <w:rPr>
          <w:rFonts w:ascii="Times New Roman" w:cs="Times New Roman" w:eastAsia="Times New Roman" w:hAnsi="Times New Roman"/>
          <w:sz w:val="24"/>
          <w:szCs w:val="24"/>
        </w:rPr>
        <w:t xml:space="preserve">The primary objectives of this project are:</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design and implement a decentralized land registry smart contract on the Ethereum blockchain with a legally-modeled Role-Based Access Control hierarchy.</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integrate IPFS-based document storage providing tamper-evident, content-addressed storage of legal deeds.</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implement a Zero-Trust document verification protocol enabling any citizen to independently audit any registered deed without trusting any authority.</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design a trustless dual-signature ownership transfer mechanism modeled as a Finite State Machine.</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demonstrate economic viability through empirical gas measurements on the Ethereum Sepolia testnet.</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provide wallet-less public read access via a dynamic RPC fallback mechanism.</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To develop a production-ready React.js frontend deployed on Cloudflare Pages CDN.</w:t>
      </w:r>
    </w:p>
    <w:p>
      <w:pPr>
        <w:pStyle w:val="Heading2"/>
        <w:spacing w:after="160" w:before="320" w:line="360" w:lineRule="auto"/>
      </w:pPr>
      <w:r>
        <w:rPr>
          <w:rFonts w:ascii="Times New Roman" w:cs="Times New Roman" w:eastAsia="Times New Roman" w:hAnsi="Times New Roman"/>
          <w:b/>
          <w:bCs/>
          <w:sz w:val="24"/>
          <w:szCs w:val="24"/>
        </w:rPr>
        <w:t xml:space="preserve">1.5 Scope and Limitations</w:t>
      </w:r>
    </w:p>
    <w:p>
      <w:pPr>
        <w:spacing w:after="160" w:line="360" w:lineRule="auto"/>
        <w:jc w:val="both"/>
      </w:pPr>
      <w:r>
        <w:rPr>
          <w:rFonts w:ascii="Times New Roman" w:cs="Times New Roman" w:eastAsia="Times New Roman" w:hAnsi="Times New Roman"/>
          <w:sz w:val="24"/>
          <w:szCs w:val="24"/>
        </w:rPr>
        <w:t xml:space="preserve">TerraLedger is deployed on the Ethereum Sepolia testnet for demonstration and evaluation purposes. The system models the land registry operations of registration, transfer, document update, and role management. It does not currently integrate with the legal framework of the Indian Registration Act, does not handle fractional ownership, and does not incorporate spatial (GPS) boundary data. The system is open-source and intended as a proof-of-concept and reference architecture for government and research adoption.</w:t>
      </w:r>
    </w:p>
    <w:p>
      <w:pPr>
        <w:pStyle w:val="Heading2"/>
        <w:spacing w:after="160" w:before="320" w:line="360" w:lineRule="auto"/>
      </w:pPr>
      <w:r>
        <w:rPr>
          <w:rFonts w:ascii="Times New Roman" w:cs="Times New Roman" w:eastAsia="Times New Roman" w:hAnsi="Times New Roman"/>
          <w:b/>
          <w:bCs/>
          <w:sz w:val="24"/>
          <w:szCs w:val="24"/>
        </w:rPr>
        <w:t xml:space="preserve">1.6 Report Organization</w:t>
      </w:r>
    </w:p>
    <w:p>
      <w:pPr>
        <w:spacing w:after="160" w:line="360" w:lineRule="auto"/>
        <w:jc w:val="both"/>
      </w:pPr>
      <w:r>
        <w:rPr>
          <w:rFonts w:ascii="Times New Roman" w:cs="Times New Roman" w:eastAsia="Times New Roman" w:hAnsi="Times New Roman"/>
          <w:sz w:val="24"/>
          <w:szCs w:val="24"/>
        </w:rPr>
        <w:t xml:space="preserve">The remainder of this report is organized as follows: Chapter 2 provides a review of existing literature and related systems. Chapter 3 describes the system architecture and methodology. Chapter 4 details the implementation of all system components. Chapter 5 presents results and discussions including gas metrics, performance data, and security analysis. Chapter 6 concludes the report and outlines future work.</w:t>
      </w:r>
    </w:p>
    <w:p>
      <w:r>
        <w:br w:type="page"/>
      </w:r>
    </w:p>
    <w:p>
      <w:pPr>
        <w:pStyle w:val="Heading1"/>
        <w:spacing w:after="240" w:before="480" w:line="360" w:lineRule="auto"/>
      </w:pPr>
      <w:r>
        <w:rPr>
          <w:rFonts w:ascii="Times New Roman" w:cs="Times New Roman" w:eastAsia="Times New Roman" w:hAnsi="Times New Roman"/>
          <w:b/>
          <w:bCs/>
          <w:sz w:val="28"/>
          <w:szCs w:val="28"/>
        </w:rPr>
        <w:t xml:space="preserve">Chapter 2: Background and Review of Literature</w:t>
      </w:r>
    </w:p>
    <w:p>
      <w:pPr>
        <w:pStyle w:val="Heading2"/>
        <w:spacing w:after="160" w:before="320" w:line="360" w:lineRule="auto"/>
      </w:pPr>
      <w:r>
        <w:rPr>
          <w:rFonts w:ascii="Times New Roman" w:cs="Times New Roman" w:eastAsia="Times New Roman" w:hAnsi="Times New Roman"/>
          <w:b/>
          <w:bCs/>
          <w:sz w:val="24"/>
          <w:szCs w:val="24"/>
        </w:rPr>
        <w:t xml:space="preserve">2.1 Land Records Management in India</w:t>
      </w:r>
    </w:p>
    <w:p>
      <w:pPr>
        <w:spacing w:after="160" w:line="360" w:lineRule="auto"/>
        <w:jc w:val="both"/>
      </w:pPr>
      <w:r>
        <w:rPr>
          <w:rFonts w:ascii="Times New Roman" w:cs="Times New Roman" w:eastAsia="Times New Roman" w:hAnsi="Times New Roman"/>
          <w:sz w:val="24"/>
          <w:szCs w:val="24"/>
        </w:rPr>
        <w:t xml:space="preserve">India's land administration is governed primarily by the Registration Act of 1908 and the Transfer of Property Act of 1882. The Registration Act mandates registration of property sale deeds at Sub-Registrar offices but records the transaction event, not the ownership state — a fundamental limitation that requires a chain-of-title search to establish ownership. State-level mutations (changes in revenue records) are a separate administrative process, creating a bifurcated system where registration and revenue records are often inconsistent.</w:t>
      </w:r>
    </w:p>
    <w:p>
      <w:pPr>
        <w:spacing w:after="160" w:line="360" w:lineRule="auto"/>
        <w:jc w:val="both"/>
      </w:pPr>
      <w:r>
        <w:rPr>
          <w:rFonts w:ascii="Times New Roman" w:cs="Times New Roman" w:eastAsia="Times New Roman" w:hAnsi="Times New Roman"/>
          <w:sz w:val="24"/>
          <w:szCs w:val="24"/>
        </w:rPr>
        <w:t xml:space="preserve">The Government of India launched the Digital India Land Records Modernization Programme (DILRMP) to digitize land records at the state level. While DILRMP has achieved significant progress in digitizing records in several states, it relies on centralized databases administered by state governments, provides no cryptographic guarantee of record integrity, and offers no mechanism for independent public verification.</w:t>
      </w:r>
    </w:p>
    <w:p>
      <w:pPr>
        <w:pStyle w:val="Heading2"/>
        <w:spacing w:after="160" w:before="320" w:line="360" w:lineRule="auto"/>
      </w:pPr>
      <w:r>
        <w:rPr>
          <w:rFonts w:ascii="Times New Roman" w:cs="Times New Roman" w:eastAsia="Times New Roman" w:hAnsi="Times New Roman"/>
          <w:b/>
          <w:bCs/>
          <w:sz w:val="24"/>
          <w:szCs w:val="24"/>
        </w:rPr>
        <w:t xml:space="preserve">2.2 Blockchain Technology in Land Registration</w:t>
      </w:r>
    </w:p>
    <w:p>
      <w:pPr>
        <w:spacing w:after="160" w:line="360" w:lineRule="auto"/>
        <w:jc w:val="both"/>
      </w:pPr>
      <w:r>
        <w:rPr>
          <w:rFonts w:ascii="Times New Roman" w:cs="Times New Roman" w:eastAsia="Times New Roman" w:hAnsi="Times New Roman"/>
          <w:sz w:val="24"/>
          <w:szCs w:val="24"/>
        </w:rPr>
        <w:t xml:space="preserve">The application of blockchain technology to land registration was first demonstrated at scale by the Swedish Land Registry (Lantmateriet) in collaboration with Chromaway, using the Postchain platform. The Swedish pilot demonstrated the feasibility of recording title transfers on a blockchain with legal backing, reducing transaction times from months to days. However, the system did not provide public verifiability or IPFS document storage.</w:t>
      </w:r>
    </w:p>
    <w:p>
      <w:pPr>
        <w:spacing w:after="160" w:line="360" w:lineRule="auto"/>
        <w:jc w:val="both"/>
      </w:pPr>
      <w:r>
        <w:rPr>
          <w:rFonts w:ascii="Times New Roman" w:cs="Times New Roman" w:eastAsia="Times New Roman" w:hAnsi="Times New Roman"/>
          <w:sz w:val="24"/>
          <w:szCs w:val="24"/>
        </w:rPr>
        <w:t xml:space="preserve">In the United States, Propy Inc. developed a platform for recording real estate transactions on the Ethereum blockchain, targeting international buyers. Propy demonstrated cross-border blockchain property sales but operates as a closed platform without wallet-less read access or zero-trust verification.</w:t>
      </w:r>
    </w:p>
    <w:p>
      <w:pPr>
        <w:spacing w:after="160" w:line="360" w:lineRule="auto"/>
        <w:jc w:val="both"/>
      </w:pPr>
      <w:r>
        <w:rPr>
          <w:rFonts w:ascii="Times New Roman" w:cs="Times New Roman" w:eastAsia="Times New Roman" w:hAnsi="Times New Roman"/>
          <w:sz w:val="24"/>
          <w:szCs w:val="24"/>
        </w:rPr>
        <w:t xml:space="preserve">In India, several academic proposals have explored blockchain-based land registries, notably including studies from central universities proposing Hyperledger Fabric-based permissioned blockchain architectures. While these proposals address some integrity concerns, permissioned blockchains sacrifice public verifiability for throughput — a trade-off that TerraLedger rejects in favor of public Ethereum with Layer 2 scaling as a future direction.</w:t>
      </w:r>
    </w:p>
    <w:p>
      <w:pPr>
        <w:pStyle w:val="Heading2"/>
        <w:spacing w:after="160" w:before="320" w:line="360" w:lineRule="auto"/>
      </w:pPr>
      <w:r>
        <w:rPr>
          <w:rFonts w:ascii="Times New Roman" w:cs="Times New Roman" w:eastAsia="Times New Roman" w:hAnsi="Times New Roman"/>
          <w:b/>
          <w:bCs/>
          <w:sz w:val="24"/>
          <w:szCs w:val="24"/>
        </w:rPr>
        <w:t xml:space="preserve">2.3 IPFS and Content-Addressed Storage</w:t>
      </w:r>
    </w:p>
    <w:p>
      <w:pPr>
        <w:spacing w:after="160" w:line="360" w:lineRule="auto"/>
        <w:jc w:val="both"/>
      </w:pPr>
      <w:r>
        <w:rPr>
          <w:rFonts w:ascii="Times New Roman" w:cs="Times New Roman" w:eastAsia="Times New Roman" w:hAnsi="Times New Roman"/>
          <w:sz w:val="24"/>
          <w:szCs w:val="24"/>
        </w:rPr>
        <w:t xml:space="preserve">The InterPlanetary File System (IPFS), proposed by Juan Benet in 2014, is a protocol for peer-to-peer content-addressed distributed file storage. Unlike traditional URL-based storage, IPFS addresses content by its cryptographic hash (a Content Identifier, or CID), making content retrieval location-independent and enabling detection of any modification to stored content. The combination of IPFS with blockchain provides a powerful pattern: the blockchain stores small, immutable CIDs that serve as cryptographic fingerprints, while IPFS stores the actual document files in a decentralized manner.</w:t>
      </w:r>
    </w:p>
    <w:p>
      <w:pPr>
        <w:spacing w:after="160" w:line="360" w:lineRule="auto"/>
        <w:jc w:val="both"/>
      </w:pPr>
      <w:r>
        <w:rPr>
          <w:rFonts w:ascii="Times New Roman" w:cs="Times New Roman" w:eastAsia="Times New Roman" w:hAnsi="Times New Roman"/>
          <w:sz w:val="24"/>
          <w:szCs w:val="24"/>
        </w:rPr>
        <w:t xml:space="preserve">Pinata is a managed IPFS pinning service that ensures content availability by maintaining nodes that persistently store uploaded content. TerraLedger uses Pinata for production IPFS operations, with the Pinata JWT stored securely in Cloudflare Worker environment variables to prevent API token exposure.</w:t>
      </w:r>
    </w:p>
    <w:p>
      <w:pPr>
        <w:pStyle w:val="Heading2"/>
        <w:spacing w:after="160" w:before="320" w:line="360" w:lineRule="auto"/>
      </w:pPr>
      <w:r>
        <w:rPr>
          <w:rFonts w:ascii="Times New Roman" w:cs="Times New Roman" w:eastAsia="Times New Roman" w:hAnsi="Times New Roman"/>
          <w:b/>
          <w:bCs/>
          <w:sz w:val="24"/>
          <w:szCs w:val="24"/>
        </w:rPr>
        <w:t xml:space="preserve">2.4 Smart Contract Security Patterns</w:t>
      </w:r>
    </w:p>
    <w:p>
      <w:pPr>
        <w:spacing w:after="160" w:line="360" w:lineRule="auto"/>
        <w:jc w:val="both"/>
      </w:pPr>
      <w:r>
        <w:rPr>
          <w:rFonts w:ascii="Times New Roman" w:cs="Times New Roman" w:eastAsia="Times New Roman" w:hAnsi="Times New Roman"/>
          <w:sz w:val="24"/>
          <w:szCs w:val="24"/>
        </w:rPr>
        <w:t xml:space="preserve">OpenZeppelin Contracts is the de facto standard library for Ethereum smart contract development, providing battle-tested, audited implementations of common patterns. TerraLedger uses OpenZeppelin's AccessControl contract for RBAC, which has been independently audited and is used in production by major DeFi protocols. The dual-signature transfer mechanism follows the Finite State Machine pattern, a well-established smart contract design pattern for modeling multi-step processes that require approvals from multiple independent parties.</w:t>
      </w:r>
    </w:p>
    <w:p>
      <w:pPr>
        <w:pStyle w:val="Heading2"/>
        <w:spacing w:after="160" w:before="320" w:line="360" w:lineRule="auto"/>
      </w:pPr>
      <w:r>
        <w:rPr>
          <w:rFonts w:ascii="Times New Roman" w:cs="Times New Roman" w:eastAsia="Times New Roman" w:hAnsi="Times New Roman"/>
          <w:b/>
          <w:bCs/>
          <w:sz w:val="24"/>
          <w:szCs w:val="24"/>
        </w:rPr>
        <w:t xml:space="preserve">2.5 Comparative Analysis</w:t>
      </w:r>
    </w:p>
    <w:p>
      <w:pPr>
        <w:spacing w:after="160" w:line="360" w:lineRule="auto"/>
        <w:jc w:val="both"/>
      </w:pPr>
      <w:r>
        <w:rPr>
          <w:rFonts w:ascii="Times New Roman" w:cs="Times New Roman" w:eastAsia="Times New Roman" w:hAnsi="Times New Roman"/>
          <w:sz w:val="24"/>
          <w:szCs w:val="24"/>
        </w:rPr>
        <w:t xml:space="preserve">Table 2.1 presents a comparative analysis of TerraLedger against existing government and commercial land registry systems across eight key features.</w:t>
      </w:r>
    </w:p>
    <w:p>
      <w:pPr>
        <w:spacing w:line="360" w:lineRule="auto"/>
      </w:pPr>
      <w:r>
        <w:t xml:space="preserve"/>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200"/>
        <w:gridCol w:w="1200"/>
        <w:gridCol w:w="1304"/>
      </w:tblGrid>
      <w:tr>
        <w:trPr>
          <w:tblHeader/>
        </w:trPr>
        <w:tc>
          <w:tcPr>
            <w:tcW w:type="dxa" w:w="3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Feature</w:t>
            </w:r>
          </w:p>
        </w:tc>
        <w:tc>
          <w:tcPr>
            <w:tcW w:type="dxa" w:w="14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DILRMP (India)</w:t>
            </w:r>
          </w:p>
        </w:tc>
        <w:tc>
          <w:tcPr>
            <w:tcW w:type="dxa" w:w="14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Bhoomi / Dharani</w:t>
            </w:r>
          </w:p>
        </w:tc>
        <w:tc>
          <w:tcPr>
            <w:tcW w:type="dxa" w:w="12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Propy</w:t>
            </w:r>
          </w:p>
        </w:tc>
        <w:tc>
          <w:tcPr>
            <w:tcW w:type="dxa" w:w="12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Chromaway</w:t>
            </w:r>
          </w:p>
        </w:tc>
        <w:tc>
          <w:tcPr>
            <w:tcW w:type="dxa" w:w="13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TerraLedger</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Immutable Records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Public Verifiability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 Document Storage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Zero-Trust Proof</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Wallet-less Read Access</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N/A</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N/A</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Open-Source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RBAC Hierarchy</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On-Chain Audit Trail</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w:t>
            </w:r>
          </w:p>
        </w:tc>
        <w:tc>
          <w:tcPr>
            <w:tcW w:type="dxa" w:w="1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Yes</w:t>
            </w:r>
          </w:p>
        </w:tc>
      </w:tr>
    </w:tbl>
    <w:p>
      <w:pPr>
        <w:spacing w:after="240" w:before="120"/>
        <w:jc w:val="center"/>
      </w:pPr>
      <w:r>
        <w:rPr>
          <w:rFonts w:ascii="Times New Roman" w:cs="Times New Roman" w:eastAsia="Times New Roman" w:hAnsi="Times New Roman"/>
          <w:i/>
          <w:iCs/>
          <w:sz w:val="20"/>
          <w:szCs w:val="20"/>
        </w:rPr>
        <w:t xml:space="preserve">Table 2.1: Comparative Analysis of Land Registry Systems</w:t>
      </w:r>
    </w:p>
    <w:p>
      <w:pPr>
        <w:spacing w:after="160" w:line="360" w:lineRule="auto"/>
        <w:jc w:val="both"/>
      </w:pPr>
      <w:r>
        <w:rPr>
          <w:rFonts w:ascii="Times New Roman" w:cs="Times New Roman" w:eastAsia="Times New Roman" w:hAnsi="Times New Roman"/>
          <w:sz w:val="24"/>
          <w:szCs w:val="24"/>
        </w:rPr>
        <w:t xml:space="preserve">TerraLedger is the only system providing all eight features simultaneously, and is the only one combining IPFS document storage with zero-trust verification and wallet-less public access.</w:t>
      </w:r>
    </w:p>
    <w:p>
      <w:r>
        <w:br w:type="page"/>
      </w:r>
    </w:p>
    <w:p>
      <w:pPr>
        <w:pStyle w:val="Heading1"/>
        <w:spacing w:after="240" w:before="480" w:line="360" w:lineRule="auto"/>
      </w:pPr>
      <w:r>
        <w:rPr>
          <w:rFonts w:ascii="Times New Roman" w:cs="Times New Roman" w:eastAsia="Times New Roman" w:hAnsi="Times New Roman"/>
          <w:b/>
          <w:bCs/>
          <w:sz w:val="28"/>
          <w:szCs w:val="28"/>
        </w:rPr>
        <w:t xml:space="preserve">Chapter 3: Methodology and System Architecture</w:t>
      </w:r>
    </w:p>
    <w:p>
      <w:pPr>
        <w:pStyle w:val="Heading2"/>
        <w:spacing w:after="160" w:before="320" w:line="360" w:lineRule="auto"/>
      </w:pPr>
      <w:r>
        <w:rPr>
          <w:rFonts w:ascii="Times New Roman" w:cs="Times New Roman" w:eastAsia="Times New Roman" w:hAnsi="Times New Roman"/>
          <w:b/>
          <w:bCs/>
          <w:sz w:val="24"/>
          <w:szCs w:val="24"/>
        </w:rPr>
        <w:t xml:space="preserve">3.1 Design Philosophy</w:t>
      </w:r>
    </w:p>
    <w:p>
      <w:pPr>
        <w:spacing w:after="160" w:line="360" w:lineRule="auto"/>
        <w:jc w:val="both"/>
      </w:pPr>
      <w:r>
        <w:rPr>
          <w:rFonts w:ascii="Times New Roman" w:cs="Times New Roman" w:eastAsia="Times New Roman" w:hAnsi="Times New Roman"/>
          <w:sz w:val="24"/>
          <w:szCs w:val="24"/>
        </w:rPr>
        <w:t xml:space="preserve">TerraLedger is designed around three core principles: (1) Zero Trust — no citizen should need to trust any authority, government, or intermediary to verify the authenticity of a land record; (2) Decentralization — no single server, database, or administrator should be a single point of failure; (3) Accessibility — any citizen with a web browser should be able to read land records without owning cryptocurrency or installing extensions.</w:t>
      </w:r>
    </w:p>
    <w:p>
      <w:pPr>
        <w:spacing w:after="160" w:line="360" w:lineRule="auto"/>
        <w:jc w:val="both"/>
      </w:pPr>
      <w:r>
        <w:rPr>
          <w:rFonts w:ascii="Times New Roman" w:cs="Times New Roman" w:eastAsia="Times New Roman" w:hAnsi="Times New Roman"/>
          <w:sz w:val="24"/>
          <w:szCs w:val="24"/>
        </w:rPr>
        <w:t xml:space="preserve">These principles are operationalized through a hybrid Ethereum and IPFS architecture in which the blockchain serves as the immutable state machine and audit trail, IPFS provides decentralized document storage, and a dynamic RPC fallback mechanism ensures wallet-less read access.</w:t>
      </w:r>
    </w:p>
    <w:p>
      <w:pPr>
        <w:pStyle w:val="Heading2"/>
        <w:spacing w:after="160" w:before="320" w:line="360" w:lineRule="auto"/>
      </w:pPr>
      <w:r>
        <w:rPr>
          <w:rFonts w:ascii="Times New Roman" w:cs="Times New Roman" w:eastAsia="Times New Roman" w:hAnsi="Times New Roman"/>
          <w:b/>
          <w:bCs/>
          <w:sz w:val="24"/>
          <w:szCs w:val="24"/>
        </w:rPr>
        <w:t xml:space="preserve">3.2 System Architecture Overview</w:t>
      </w:r>
    </w:p>
    <w:p>
      <w:pPr>
        <w:spacing w:after="160" w:line="360" w:lineRule="auto"/>
        <w:jc w:val="both"/>
      </w:pPr>
      <w:r>
        <w:rPr>
          <w:rFonts w:ascii="Times New Roman" w:cs="Times New Roman" w:eastAsia="Times New Roman" w:hAnsi="Times New Roman"/>
          <w:sz w:val="24"/>
          <w:szCs w:val="24"/>
        </w:rPr>
        <w:t xml:space="preserve">The TerraLedger system is organized into five architectural layers, each with a distinct role and failure boundary:</w:t>
      </w:r>
    </w:p>
    <w:p>
      <w:pPr>
        <w:pStyle w:val="Heading3"/>
        <w:spacing w:after="120" w:before="240" w:line="360" w:lineRule="auto"/>
      </w:pPr>
      <w:r>
        <w:rPr>
          <w:rFonts w:ascii="Times New Roman" w:cs="Times New Roman" w:eastAsia="Times New Roman" w:hAnsi="Times New Roman"/>
          <w:b/>
          <w:bCs/>
          <w:i/>
          <w:iCs/>
          <w:sz w:val="24"/>
          <w:szCs w:val="24"/>
        </w:rPr>
        <w:t xml:space="preserve">3.2.1 User Layer</w:t>
      </w:r>
    </w:p>
    <w:p>
      <w:pPr>
        <w:spacing w:after="160" w:line="360" w:lineRule="auto"/>
        <w:jc w:val="both"/>
      </w:pPr>
      <w:r>
        <w:rPr>
          <w:rFonts w:ascii="Times New Roman" w:cs="Times New Roman" w:eastAsia="Times New Roman" w:hAnsi="Times New Roman"/>
          <w:sz w:val="24"/>
          <w:szCs w:val="24"/>
        </w:rPr>
        <w:t xml:space="preserve">The User Layer consists of web browsers with or without the MetaMask extension. Citizens requiring only read access connect without MetaMask. Administrators and Registrars connect via MetaMask to sign state-changing transactions.</w:t>
      </w:r>
    </w:p>
    <w:p>
      <w:pPr>
        <w:pStyle w:val="Heading3"/>
        <w:spacing w:after="120" w:before="240" w:line="360" w:lineRule="auto"/>
      </w:pPr>
      <w:r>
        <w:rPr>
          <w:rFonts w:ascii="Times New Roman" w:cs="Times New Roman" w:eastAsia="Times New Roman" w:hAnsi="Times New Roman"/>
          <w:b/>
          <w:bCs/>
          <w:i/>
          <w:iCs/>
          <w:sz w:val="24"/>
          <w:szCs w:val="24"/>
        </w:rPr>
        <w:t xml:space="preserve">3.2.2 Frontend Layer</w:t>
      </w:r>
    </w:p>
    <w:p>
      <w:pPr>
        <w:spacing w:after="160" w:line="360" w:lineRule="auto"/>
        <w:jc w:val="both"/>
      </w:pPr>
      <w:r>
        <w:rPr>
          <w:rFonts w:ascii="Times New Roman" w:cs="Times New Roman" w:eastAsia="Times New Roman" w:hAnsi="Times New Roman"/>
          <w:sz w:val="24"/>
          <w:szCs w:val="24"/>
        </w:rPr>
        <w:t xml:space="preserve">A React.js v18.3 application built with Vite v7.1, served from Cloudflare Pages CDN. It communicates with the blockchain via ethers.js v6.15 and with IPFS via the Pinata API through a Cloudflare Worker serverless intermediary. The NetworkGuard component provides a full-screen overlay when the connected wallet is on an incorrect network.</w:t>
      </w:r>
    </w:p>
    <w:p>
      <w:pPr>
        <w:pStyle w:val="Heading3"/>
        <w:spacing w:after="120" w:before="240" w:line="360" w:lineRule="auto"/>
      </w:pPr>
      <w:r>
        <w:rPr>
          <w:rFonts w:ascii="Times New Roman" w:cs="Times New Roman" w:eastAsia="Times New Roman" w:hAnsi="Times New Roman"/>
          <w:b/>
          <w:bCs/>
          <w:i/>
          <w:iCs/>
          <w:sz w:val="24"/>
          <w:szCs w:val="24"/>
        </w:rPr>
        <w:t xml:space="preserve">3.2.3 RPC / Middleware Layer</w:t>
      </w:r>
    </w:p>
    <w:p>
      <w:pPr>
        <w:spacing w:after="160" w:line="360" w:lineRule="auto"/>
        <w:jc w:val="both"/>
      </w:pPr>
      <w:r>
        <w:rPr>
          <w:rFonts w:ascii="Times New Roman" w:cs="Times New Roman" w:eastAsia="Times New Roman" w:hAnsi="Times New Roman"/>
          <w:sz w:val="24"/>
          <w:szCs w:val="24"/>
        </w:rPr>
        <w:t xml:space="preserve">Provides network connectivity to Ethereum. The primary RPC provider is Alchemy (free tier, 300 million compute units per month). A public Sepolia node at ethereum-sepolia-rpc.publicnode.com serves as the automatic fallback for wallet-less users and for unrestricted eth_getLogs access. The DEPLOY_BLOCK constant (block 10,725,429) optimizes event queries by limiting log scans to post-deployment blocks.</w:t>
      </w:r>
    </w:p>
    <w:p>
      <w:pPr>
        <w:pStyle w:val="Heading3"/>
        <w:spacing w:after="120" w:before="240" w:line="360" w:lineRule="auto"/>
      </w:pPr>
      <w:r>
        <w:rPr>
          <w:rFonts w:ascii="Times New Roman" w:cs="Times New Roman" w:eastAsia="Times New Roman" w:hAnsi="Times New Roman"/>
          <w:b/>
          <w:bCs/>
          <w:i/>
          <w:iCs/>
          <w:sz w:val="24"/>
          <w:szCs w:val="24"/>
        </w:rPr>
        <w:t xml:space="preserve">3.2.4 Blockchain Layer</w:t>
      </w:r>
    </w:p>
    <w:p>
      <w:pPr>
        <w:spacing w:after="160" w:line="360" w:lineRule="auto"/>
        <w:jc w:val="both"/>
      </w:pPr>
      <w:r>
        <w:rPr>
          <w:rFonts w:ascii="Times New Roman" w:cs="Times New Roman" w:eastAsia="Times New Roman" w:hAnsi="Times New Roman"/>
          <w:sz w:val="24"/>
          <w:szCs w:val="24"/>
        </w:rPr>
        <w:t xml:space="preserve">The TerraLedger.sol smart contract deployed on the Ethereum Sepolia testnet (deployment block 10,725,429, timestamp 2026-04-24T21:38:12 UTC). The contract implements the complete business logic: property minting, ownership transfer, document updates, and role management. All state transitions are permanent and publicly verifiable.</w:t>
      </w:r>
    </w:p>
    <w:p>
      <w:pPr>
        <w:pStyle w:val="Heading3"/>
        <w:spacing w:after="120" w:before="240" w:line="360" w:lineRule="auto"/>
      </w:pPr>
      <w:r>
        <w:rPr>
          <w:rFonts w:ascii="Times New Roman" w:cs="Times New Roman" w:eastAsia="Times New Roman" w:hAnsi="Times New Roman"/>
          <w:b/>
          <w:bCs/>
          <w:i/>
          <w:iCs/>
          <w:sz w:val="24"/>
          <w:szCs w:val="24"/>
        </w:rPr>
        <w:t xml:space="preserve">3.2.5 Storage Layer</w:t>
      </w:r>
    </w:p>
    <w:p>
      <w:pPr>
        <w:spacing w:after="160" w:line="360" w:lineRule="auto"/>
        <w:jc w:val="both"/>
      </w:pPr>
      <w:r>
        <w:rPr>
          <w:rFonts w:ascii="Times New Roman" w:cs="Times New Roman" w:eastAsia="Times New Roman" w:hAnsi="Times New Roman"/>
          <w:sz w:val="24"/>
          <w:szCs w:val="24"/>
        </w:rPr>
        <w:t xml:space="preserve">IPFS via Pinata. Legal deed documents are pinned to IPFS by the Cloudflare Worker, and the resulting CID is stored on-chain as the documentHash field of the Property struct. The CID serves as a tamper-proof cryptographic fingerprint of the document.</w:t>
      </w:r>
    </w:p>
    <w:p>
      <w:pPr>
        <w:pStyle w:val="Heading2"/>
        <w:spacing w:after="160" w:before="320" w:line="360" w:lineRule="auto"/>
      </w:pPr>
      <w:r>
        <w:rPr>
          <w:rFonts w:ascii="Times New Roman" w:cs="Times New Roman" w:eastAsia="Times New Roman" w:hAnsi="Times New Roman"/>
          <w:b/>
          <w:bCs/>
          <w:sz w:val="24"/>
          <w:szCs w:val="24"/>
        </w:rPr>
        <w:t xml:space="preserve">3.3 Technology Stack</w:t>
      </w:r>
    </w:p>
    <w:p>
      <w:pPr>
        <w:spacing w:after="160" w:line="360" w:lineRule="auto"/>
        <w:jc w:val="both"/>
      </w:pPr>
      <w:r>
        <w:rPr>
          <w:rFonts w:ascii="Times New Roman" w:cs="Times New Roman" w:eastAsia="Times New Roman" w:hAnsi="Times New Roman"/>
          <w:sz w:val="24"/>
          <w:szCs w:val="24"/>
        </w:rPr>
        <w:t xml:space="preserve">Table 3.1 presents the complete technology stack of the TerraLedger system.</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04"/>
      </w:tblGrid>
      <w:tr>
        <w:trPr>
          <w:tblHeader/>
        </w:trPr>
        <w:tc>
          <w:tcPr>
            <w:tcW w:type="dxa" w:w="28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Category</w:t>
            </w:r>
          </w:p>
        </w:tc>
        <w:tc>
          <w:tcPr>
            <w:tcW w:type="dxa" w:w="28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Technology</w:t>
            </w:r>
          </w:p>
        </w:tc>
        <w:tc>
          <w:tcPr>
            <w:tcW w:type="dxa" w:w="29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Version / Detail</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Smart Contract Language</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Solidity</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v0.8.20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Contract Framework</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OpenZeppelin AccessControl</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v5</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Development &amp; Testing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Hardhat + Chai</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v2.22</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Frontend Framework</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React.js + Vite</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v18.3 + v7.1</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Web3 Library</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ethers.js</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v6.15</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Client-side Hashing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crypto-js (SHA-256)</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v4.2</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Decentralized Storage</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 via Pinata API</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CID v1</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Wallet Integration</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MetaMask</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window.ethereum API</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Frontend Hosting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Cloudflare Pages CDN</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Auto-deploy from GitHub</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Testnet</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Ethereum Sepolia</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Chain ID: 11155111</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Local Dev Network</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Hardhat</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Chain ID: 31337</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Primary RPC</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Alchemy</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300M compute units/month</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Fallback RPC</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PublicNode Sepolia</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Unrestricted eth_getLogs</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Serverless Middleware</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Cloudflare Workers</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Pinata JWT secured</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Routing</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React Router DOM</w:t>
            </w:r>
          </w:p>
        </w:tc>
        <w:tc>
          <w:tcPr>
            <w:tcW w:type="dxa" w:w="2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v7.11</w:t>
            </w:r>
          </w:p>
        </w:tc>
      </w:tr>
    </w:tbl>
    <w:p>
      <w:pPr>
        <w:spacing w:after="240" w:before="120"/>
        <w:jc w:val="center"/>
      </w:pPr>
      <w:r>
        <w:rPr>
          <w:rFonts w:ascii="Times New Roman" w:cs="Times New Roman" w:eastAsia="Times New Roman" w:hAnsi="Times New Roman"/>
          <w:i/>
          <w:iCs/>
          <w:sz w:val="20"/>
          <w:szCs w:val="20"/>
        </w:rPr>
        <w:t xml:space="preserve">Table 3.1: TerraLedger Complete Technology Stack</w:t>
      </w:r>
    </w:p>
    <w:p>
      <w:pPr>
        <w:pStyle w:val="Heading2"/>
        <w:spacing w:after="160" w:before="320" w:line="360" w:lineRule="auto"/>
      </w:pPr>
      <w:r>
        <w:rPr>
          <w:rFonts w:ascii="Times New Roman" w:cs="Times New Roman" w:eastAsia="Times New Roman" w:hAnsi="Times New Roman"/>
          <w:b/>
          <w:bCs/>
          <w:sz w:val="24"/>
          <w:szCs w:val="24"/>
        </w:rPr>
        <w:t xml:space="preserve">3.4 Smart Contract Design</w:t>
      </w:r>
    </w:p>
    <w:p>
      <w:pPr>
        <w:pStyle w:val="Heading3"/>
        <w:spacing w:after="120" w:before="240" w:line="360" w:lineRule="auto"/>
      </w:pPr>
      <w:r>
        <w:rPr>
          <w:rFonts w:ascii="Times New Roman" w:cs="Times New Roman" w:eastAsia="Times New Roman" w:hAnsi="Times New Roman"/>
          <w:b/>
          <w:bCs/>
          <w:i/>
          <w:iCs/>
          <w:sz w:val="24"/>
          <w:szCs w:val="24"/>
        </w:rPr>
        <w:t xml:space="preserve">3.4.1 Role-Based Access Control Hierarchy</w:t>
      </w:r>
    </w:p>
    <w:p>
      <w:pPr>
        <w:spacing w:after="160" w:line="360" w:lineRule="auto"/>
        <w:jc w:val="both"/>
      </w:pPr>
      <w:r>
        <w:rPr>
          <w:rFonts w:ascii="Times New Roman" w:cs="Times New Roman" w:eastAsia="Times New Roman" w:hAnsi="Times New Roman"/>
          <w:sz w:val="24"/>
          <w:szCs w:val="24"/>
        </w:rPr>
        <w:t xml:space="preserve">The TerraLedger smart contract models the real-world legal hierarchy of a land registry through four principal roles enforced at the EVM level using OpenZeppelin's AccessControl:</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DEFAULT_ADMIN_ROLE: Assigned to the deployer. Supreme role capable of managing role administrators. In production, transferred to a Gnosis Safe multi-signature wallet.</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AUTHORITY_ROLE: High-level governance (keccak256("AUTHORITY_ROLE")). Can grant and revoke REGISTRAR_ROLE assignments. Corresponds to a Land Authority or District Collector.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REGISTRAR_ROLE: Operational role (keccak256("REGISTRAR_ROLE")). Can register new properties, approve ownership transfers, and submit document corrections. Corresponds to a Sub-Registrar.</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Property Owner: Holds the title to a registered property. Can request transfers to a designated buyer. Ownership is tracked by Ethereum wallet address — no explicit role assignment required.</w:t>
      </w:r>
    </w:p>
    <w:p>
      <w:pPr>
        <w:pStyle w:val="ListParagraph"/>
        <w:numPr>
          <w:ilvl w:val="0"/>
          <w:numId w:val="2"/>
        </w:numPr>
        <w:spacing w:after="80" w:line="360" w:lineRule="auto"/>
      </w:pPr>
      <w:r>
        <w:rPr>
          <w:rFonts w:ascii="Times New Roman" w:cs="Times New Roman" w:eastAsia="Times New Roman" w:hAnsi="Times New Roman"/>
          <w:sz w:val="24"/>
          <w:szCs w:val="24"/>
        </w:rPr>
        <w:t xml:space="preserve">Public Citizen: Can read any property record, verify documents, and browse the audit trail without a wallet or gas fees.</w:t>
      </w:r>
    </w:p>
    <w:p>
      <w:pPr>
        <w:pStyle w:val="Heading3"/>
        <w:spacing w:after="120" w:before="240" w:line="360" w:lineRule="auto"/>
      </w:pPr>
      <w:r>
        <w:rPr>
          <w:rFonts w:ascii="Times New Roman" w:cs="Times New Roman" w:eastAsia="Times New Roman" w:hAnsi="Times New Roman"/>
          <w:b/>
          <w:bCs/>
          <w:i/>
          <w:iCs/>
          <w:sz w:val="24"/>
          <w:szCs w:val="24"/>
        </w:rPr>
        <w:t xml:space="preserve">3.4.2 Property Data Structure</w:t>
      </w:r>
    </w:p>
    <w:p>
      <w:pPr>
        <w:spacing w:after="160" w:line="360" w:lineRule="auto"/>
        <w:jc w:val="both"/>
      </w:pPr>
      <w:r>
        <w:rPr>
          <w:rFonts w:ascii="Times New Roman" w:cs="Times New Roman" w:eastAsia="Times New Roman" w:hAnsi="Times New Roman"/>
          <w:sz w:val="24"/>
          <w:szCs w:val="24"/>
        </w:rPr>
        <w:t xml:space="preserve">The Property struct stores all on-chain data associated with a registered land parcel, as shown in Table 3.2.</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104"/>
      </w:tblGrid>
      <w:tr>
        <w:trPr>
          <w:tblHeader/>
        </w:trPr>
        <w:tc>
          <w:tcPr>
            <w:tcW w:type="dxa" w:w="2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Field</w:t>
            </w:r>
          </w:p>
        </w:tc>
        <w:tc>
          <w:tcPr>
            <w:tcW w:type="dxa" w:w="14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51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Purpose</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uint256</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Auto-incrementing unique identifier, starting from 1</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owner</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address</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Current legal owner's Ethereum wallet address</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location</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string</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Physical address or GPS coordinates of the property</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area</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string</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Land measurement (string type to support mixed units)</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propertyType</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string</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Classification: Residential, Commercial, or Agricultural</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documentHash</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string</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 CID of the pinned legal deed document</w:t>
            </w:r>
          </w:p>
        </w:tc>
      </w:tr>
      <w:tr>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isRegistered</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bool</w:t>
            </w:r>
          </w:p>
        </w:tc>
        <w:tc>
          <w:tcPr>
            <w:tcW w:type="dxa" w:w="51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Existence flag preventing null-pointer access on unminted IDs</w:t>
            </w:r>
          </w:p>
        </w:tc>
      </w:tr>
    </w:tbl>
    <w:p>
      <w:pPr>
        <w:spacing w:after="240" w:before="120"/>
        <w:jc w:val="center"/>
      </w:pPr>
      <w:r>
        <w:rPr>
          <w:rFonts w:ascii="Times New Roman" w:cs="Times New Roman" w:eastAsia="Times New Roman" w:hAnsi="Times New Roman"/>
          <w:i/>
          <w:iCs/>
          <w:sz w:val="20"/>
          <w:szCs w:val="20"/>
        </w:rPr>
        <w:t xml:space="preserve">Table 3.2: Property Struct Fields</w:t>
      </w:r>
    </w:p>
    <w:p>
      <w:pPr>
        <w:pStyle w:val="Heading3"/>
        <w:spacing w:after="120" w:before="240" w:line="360" w:lineRule="auto"/>
      </w:pPr>
      <w:r>
        <w:rPr>
          <w:rFonts w:ascii="Times New Roman" w:cs="Times New Roman" w:eastAsia="Times New Roman" w:hAnsi="Times New Roman"/>
          <w:b/>
          <w:bCs/>
          <w:i/>
          <w:iCs/>
          <w:sz w:val="24"/>
          <w:szCs w:val="24"/>
        </w:rPr>
        <w:t xml:space="preserve">3.4.3 Smart Contract Functions</w:t>
      </w:r>
    </w:p>
    <w:p>
      <w:pPr>
        <w:spacing w:after="160" w:line="360" w:lineRule="auto"/>
        <w:jc w:val="both"/>
      </w:pPr>
      <w:r>
        <w:rPr>
          <w:rFonts w:ascii="Times New Roman" w:cs="Times New Roman" w:eastAsia="Times New Roman" w:hAnsi="Times New Roman"/>
          <w:sz w:val="24"/>
          <w:szCs w:val="24"/>
        </w:rPr>
        <w:t xml:space="preserve">Table 3.3 lists all public functions exposed by the TerraLedger smart contract with their access control requirements.</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304"/>
      </w:tblGrid>
      <w:tr>
        <w:trPr>
          <w:tblHeader/>
        </w:trPr>
        <w:tc>
          <w:tcPr>
            <w:tcW w:type="dxa" w:w="23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Function</w:t>
            </w:r>
          </w:p>
        </w:tc>
        <w:tc>
          <w:tcPr>
            <w:tcW w:type="dxa" w:w="19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Access Required</w:t>
            </w:r>
          </w:p>
        </w:tc>
        <w:tc>
          <w:tcPr>
            <w:tcW w:type="dxa" w:w="43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Description</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registerProperty()</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REGISTRAR_ROLE</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Mints a new Property struct; auto-increments nextPropertyId; emits PropertyRegistered</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requestTransfer()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 Owner</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Creates a TransferRequest with buyer address; sets state to PENDING; emits TransferRequested</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approveTransfer()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REGISTRAR_ROLE</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Swaps property.owner to buyer; deletes TransferRequest; emits OwnershipTransferred</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cancelTransfer()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Owner or Registrar</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Deletes pending TransferRequest; returns property to AVAILABLE state</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updatePropertyDocument()</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REGISTRAR_ROLE</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Overwrites documentHash; emits PropertyDocumentUpdated for audit trail</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addRegistrar()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AUTHORITY_ROLE</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Grants REGISTRAR_ROLE to an Ethereum address</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removeRegistrar()</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AUTHORITY_ROLE</w:t>
            </w:r>
          </w:p>
        </w:tc>
        <w:tc>
          <w:tcPr>
            <w:tcW w:type="dxa" w:w="43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Revokes REGISTRAR_ROLE from an Ethereum address</w:t>
            </w:r>
          </w:p>
        </w:tc>
      </w:tr>
    </w:tbl>
    <w:p>
      <w:pPr>
        <w:spacing w:after="240" w:before="120"/>
        <w:jc w:val="center"/>
      </w:pPr>
      <w:r>
        <w:rPr>
          <w:rFonts w:ascii="Times New Roman" w:cs="Times New Roman" w:eastAsia="Times New Roman" w:hAnsi="Times New Roman"/>
          <w:i/>
          <w:iCs/>
          <w:sz w:val="20"/>
          <w:szCs w:val="20"/>
        </w:rPr>
        <w:t xml:space="preserve">Table 3.3: Smart Contract Functions</w:t>
      </w:r>
    </w:p>
    <w:p>
      <w:pPr>
        <w:pStyle w:val="Heading2"/>
        <w:spacing w:after="160" w:before="320" w:line="360" w:lineRule="auto"/>
      </w:pPr>
      <w:r>
        <w:rPr>
          <w:rFonts w:ascii="Times New Roman" w:cs="Times New Roman" w:eastAsia="Times New Roman" w:hAnsi="Times New Roman"/>
          <w:b/>
          <w:bCs/>
          <w:sz w:val="24"/>
          <w:szCs w:val="24"/>
        </w:rPr>
        <w:t xml:space="preserve">3.5 Ownership Transfer State Machine</w:t>
      </w:r>
    </w:p>
    <w:p>
      <w:pPr>
        <w:spacing w:after="160" w:line="360" w:lineRule="auto"/>
        <w:jc w:val="both"/>
      </w:pPr>
      <w:r>
        <w:rPr>
          <w:rFonts w:ascii="Times New Roman" w:cs="Times New Roman" w:eastAsia="Times New Roman" w:hAnsi="Times New Roman"/>
          <w:sz w:val="24"/>
          <w:szCs w:val="24"/>
        </w:rPr>
        <w:t xml:space="preserve">The ownership transfer process is modeled as a Finite State Machine (FSM) with three states. The formal model is:</w:t>
      </w:r>
    </w:p>
    <w:p>
      <w:pPr>
        <w:spacing w:after="120" w:before="120"/>
        <w:jc w:val="center"/>
      </w:pPr>
      <w:r>
        <w:rPr>
          <w:rFonts w:ascii="Times New Roman" w:cs="Times New Roman" w:eastAsia="Times New Roman" w:hAnsi="Times New Roman"/>
          <w:i/>
          <w:iCs/>
          <w:sz w:val="22"/>
          <w:szCs w:val="22"/>
        </w:rPr>
        <w:t xml:space="preserve">Gamma(S_Pending, sigma_Registrar, sigma_Buyer) -&gt; S_Transferred</w:t>
      </w:r>
    </w:p>
    <w:p>
      <w:pPr>
        <w:spacing w:after="160" w:line="360" w:lineRule="auto"/>
        <w:jc w:val="both"/>
      </w:pPr>
      <w:r>
        <w:rPr>
          <w:rFonts w:ascii="Times New Roman" w:cs="Times New Roman" w:eastAsia="Times New Roman" w:hAnsi="Times New Roman"/>
          <w:sz w:val="24"/>
          <w:szCs w:val="24"/>
        </w:rPr>
        <w:t xml:space="preserve">The states are: AVAILABLE (no pending transfer), PENDING (owner has submitted a transfer request designating a buyer), and TRANSFERRED (registrar has approved and ownership has changed). The critical security property is the dual-signature requirement: the owner's requestTransfer() initiates the process, and only an independent Registrar's approveTransfer() finalizes it. Neither party can complete a transfer unilaterally.</w:t>
      </w:r>
    </w:p>
    <w:p>
      <w:pPr>
        <w:pStyle w:val="Heading2"/>
        <w:spacing w:after="160" w:before="320" w:line="360" w:lineRule="auto"/>
      </w:pPr>
      <w:r>
        <w:rPr>
          <w:rFonts w:ascii="Times New Roman" w:cs="Times New Roman" w:eastAsia="Times New Roman" w:hAnsi="Times New Roman"/>
          <w:b/>
          <w:bCs/>
          <w:sz w:val="24"/>
          <w:szCs w:val="24"/>
        </w:rPr>
        <w:t xml:space="preserve">3.6 Zero-Trust Document Verification Protocol</w:t>
      </w:r>
    </w:p>
    <w:p>
      <w:pPr>
        <w:spacing w:after="160" w:line="360" w:lineRule="auto"/>
        <w:jc w:val="both"/>
      </w:pPr>
      <w:r>
        <w:rPr>
          <w:rFonts w:ascii="Times New Roman" w:cs="Times New Roman" w:eastAsia="Times New Roman" w:hAnsi="Times New Roman"/>
          <w:sz w:val="24"/>
          <w:szCs w:val="24"/>
        </w:rPr>
        <w:t xml:space="preserve">The document verification protocol allows any citizen to independently verify that a deed document in their possession has not been altered from the version recorded on the blockchain:</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user selects their local copy of the deed document in the browser.</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browser computes the SHA-256 hash of the file content entirely client-side using CryptoJS, without transmitting the file to any server.</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frontend queries the smart contract to retrieve the documentHash (IPFS CID) for the specified property ID.</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frontend fetches the original document from the IPFS network using the stored CID via the Pinata gateway.</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SHA-256 hash of the fetched IPFS document is computed in the browser.</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The two hashes are compared: if equal, the document is AUTHENTIC; if different, the document is TAMPERED.</w:t>
      </w:r>
    </w:p>
    <w:p>
      <w:pPr>
        <w:spacing w:after="160" w:line="360" w:lineRule="auto"/>
        <w:jc w:val="both"/>
      </w:pPr>
      <w:r>
        <w:rPr>
          <w:rFonts w:ascii="Times New Roman" w:cs="Times New Roman" w:eastAsia="Times New Roman" w:hAnsi="Times New Roman"/>
          <w:sz w:val="24"/>
          <w:szCs w:val="24"/>
        </w:rPr>
        <w:t xml:space="preserve">The mathematical formalization is: V = 1 if H(F_local) = H(F_IPFS) else 0, where H(x) denotes the SHA-256 hash function. The collision probability is 1/2^256 (approximately 1.16 x 10^-77), making successful forgery computationally infeasible. Crucially, the local file never leaves the user's browser during hashing, preserving document privacy and requiring no trust in the TerraLedger application itself.</w:t>
      </w:r>
    </w:p>
    <w:p>
      <w:r>
        <w:br w:type="page"/>
      </w:r>
    </w:p>
    <w:p>
      <w:pPr>
        <w:pStyle w:val="Heading1"/>
        <w:spacing w:after="240" w:before="480" w:line="360" w:lineRule="auto"/>
      </w:pPr>
      <w:r>
        <w:rPr>
          <w:rFonts w:ascii="Times New Roman" w:cs="Times New Roman" w:eastAsia="Times New Roman" w:hAnsi="Times New Roman"/>
          <w:b/>
          <w:bCs/>
          <w:sz w:val="28"/>
          <w:szCs w:val="28"/>
        </w:rPr>
        <w:t xml:space="preserve">Chapter 4: Implementation</w:t>
      </w:r>
    </w:p>
    <w:p>
      <w:pPr>
        <w:pStyle w:val="Heading2"/>
        <w:spacing w:after="160" w:before="320" w:line="360" w:lineRule="auto"/>
      </w:pPr>
      <w:r>
        <w:rPr>
          <w:rFonts w:ascii="Times New Roman" w:cs="Times New Roman" w:eastAsia="Times New Roman" w:hAnsi="Times New Roman"/>
          <w:b/>
          <w:bCs/>
          <w:sz w:val="24"/>
          <w:szCs w:val="24"/>
        </w:rPr>
        <w:t xml:space="preserve">4.1 Smart Contract Implementation</w:t>
      </w:r>
    </w:p>
    <w:p>
      <w:pPr>
        <w:pStyle w:val="Heading3"/>
        <w:spacing w:after="120" w:before="240" w:line="360" w:lineRule="auto"/>
      </w:pPr>
      <w:r>
        <w:rPr>
          <w:rFonts w:ascii="Times New Roman" w:cs="Times New Roman" w:eastAsia="Times New Roman" w:hAnsi="Times New Roman"/>
          <w:b/>
          <w:bCs/>
          <w:i/>
          <w:iCs/>
          <w:sz w:val="24"/>
          <w:szCs w:val="24"/>
        </w:rPr>
        <w:t xml:space="preserve">4.1.1 Contract Inheritance and Constructor</w:t>
      </w:r>
    </w:p>
    <w:p>
      <w:pPr>
        <w:spacing w:after="160" w:line="360" w:lineRule="auto"/>
        <w:jc w:val="both"/>
      </w:pPr>
      <w:r>
        <w:rPr>
          <w:rFonts w:ascii="Times New Roman" w:cs="Times New Roman" w:eastAsia="Times New Roman" w:hAnsi="Times New Roman"/>
          <w:sz w:val="24"/>
          <w:szCs w:val="24"/>
        </w:rPr>
        <w:t xml:space="preserve">The TerraLedger.sol contract inherits from OpenZeppelin's AccessControl. The constructor grants the deployer all three roles (DEFAULT_ADMIN_ROLE, AUTHORITY_ROLE, REGISTRAR_ROLE) and establishes the role administration hierarchy using _setRoleAdmin(REGISTRAR_ROLE, AUTHORITY_ROLE), ensuring that only wallets holding AUTHORITY_ROLE can grant or revoke Registrar privileges. This mirrors the real-world structure in which a Land Authority oversees Sub-Registrar appointments.</w:t>
      </w:r>
    </w:p>
    <w:p>
      <w:pPr>
        <w:pStyle w:val="Heading3"/>
        <w:spacing w:after="120" w:before="240" w:line="360" w:lineRule="auto"/>
      </w:pPr>
      <w:r>
        <w:rPr>
          <w:rFonts w:ascii="Times New Roman" w:cs="Times New Roman" w:eastAsia="Times New Roman" w:hAnsi="Times New Roman"/>
          <w:b/>
          <w:bCs/>
          <w:i/>
          <w:iCs/>
          <w:sz w:val="24"/>
          <w:szCs w:val="24"/>
        </w:rPr>
        <w:t xml:space="preserve">4.1.2 Input Validation</w:t>
      </w:r>
    </w:p>
    <w:p>
      <w:pPr>
        <w:spacing w:after="160" w:line="360" w:lineRule="auto"/>
        <w:jc w:val="both"/>
      </w:pPr>
      <w:r>
        <w:rPr>
          <w:rFonts w:ascii="Times New Roman" w:cs="Times New Roman" w:eastAsia="Times New Roman" w:hAnsi="Times New Roman"/>
          <w:sz w:val="24"/>
          <w:szCs w:val="24"/>
        </w:rPr>
        <w:t xml:space="preserve">All state-changing functions include explicit require statements to enforce data integrity at the EVM level: the owner address must not be the zero address; location and area strings must not be empty; the property must exist (isRegistered == true) before transfers or updates can occur; only the property owner may request a transfer; the buyer must be a valid non-zero address distinct from the current owner; and a pending transfer request must exist before a Registrar can approve it.</w:t>
      </w:r>
    </w:p>
    <w:p>
      <w:pPr>
        <w:pStyle w:val="Heading3"/>
        <w:spacing w:after="120" w:before="240" w:line="360" w:lineRule="auto"/>
      </w:pPr>
      <w:r>
        <w:rPr>
          <w:rFonts w:ascii="Times New Roman" w:cs="Times New Roman" w:eastAsia="Times New Roman" w:hAnsi="Times New Roman"/>
          <w:b/>
          <w:bCs/>
          <w:i/>
          <w:iCs/>
          <w:sz w:val="24"/>
          <w:szCs w:val="24"/>
        </w:rPr>
        <w:t xml:space="preserve">4.1.3 Events and Audit Trail</w:t>
      </w:r>
    </w:p>
    <w:p>
      <w:pPr>
        <w:spacing w:after="160" w:line="360" w:lineRule="auto"/>
        <w:jc w:val="both"/>
      </w:pPr>
      <w:r>
        <w:rPr>
          <w:rFonts w:ascii="Times New Roman" w:cs="Times New Roman" w:eastAsia="Times New Roman" w:hAnsi="Times New Roman"/>
          <w:sz w:val="24"/>
          <w:szCs w:val="24"/>
        </w:rPr>
        <w:t xml:space="preserve">The contract emits eight events that form the complete on-chain audit trail: PropertyRegistered, OwnershipTransferred, TransferRequested, TransferApproved, TransferCancelled, PropertyDocumentUpdated, and the inherited RoleGranted and RoleRevoked events from OpenZeppelin. All events include indexed fields to enable efficient frontend filtering via the eth_getLogs RPC method.</w:t>
      </w:r>
    </w:p>
    <w:p>
      <w:pPr>
        <w:pStyle w:val="Heading3"/>
        <w:spacing w:after="120" w:before="240" w:line="360" w:lineRule="auto"/>
      </w:pPr>
      <w:r>
        <w:rPr>
          <w:rFonts w:ascii="Times New Roman" w:cs="Times New Roman" w:eastAsia="Times New Roman" w:hAnsi="Times New Roman"/>
          <w:b/>
          <w:bCs/>
          <w:i/>
          <w:iCs/>
          <w:sz w:val="24"/>
          <w:szCs w:val="24"/>
        </w:rPr>
        <w:t xml:space="preserve">4.1.4 Solidity Optimizer Configuration</w:t>
      </w:r>
    </w:p>
    <w:p>
      <w:pPr>
        <w:spacing w:after="160" w:line="360" w:lineRule="auto"/>
        <w:jc w:val="both"/>
      </w:pPr>
      <w:r>
        <w:rPr>
          <w:rFonts w:ascii="Times New Roman" w:cs="Times New Roman" w:eastAsia="Times New Roman" w:hAnsi="Times New Roman"/>
          <w:sz w:val="24"/>
          <w:szCs w:val="24"/>
        </w:rPr>
        <w:t xml:space="preserve">The Hardhat configuration enables the Solidity optimizer with 200 runs, optimizing the bytecode for deployment cost while maintaining reasonable execution gas costs for repeated function calls. The combined optimization and design achieved a contract deployment within Ethereum's 24KB contract size limit at 2,115,315 gas.</w:t>
      </w:r>
    </w:p>
    <w:p>
      <w:pPr>
        <w:pStyle w:val="Heading2"/>
        <w:spacing w:after="160" w:before="320" w:line="360" w:lineRule="auto"/>
      </w:pPr>
      <w:r>
        <w:rPr>
          <w:rFonts w:ascii="Times New Roman" w:cs="Times New Roman" w:eastAsia="Times New Roman" w:hAnsi="Times New Roman"/>
          <w:b/>
          <w:bCs/>
          <w:sz w:val="24"/>
          <w:szCs w:val="24"/>
        </w:rPr>
        <w:t xml:space="preserve">4.2 IPFS Integration via Cloudflare Worker</w:t>
      </w:r>
    </w:p>
    <w:p>
      <w:pPr>
        <w:spacing w:after="160" w:line="360" w:lineRule="auto"/>
        <w:jc w:val="both"/>
      </w:pPr>
      <w:r>
        <w:rPr>
          <w:rFonts w:ascii="Times New Roman" w:cs="Times New Roman" w:eastAsia="Times New Roman" w:hAnsi="Times New Roman"/>
          <w:sz w:val="24"/>
          <w:szCs w:val="24"/>
        </w:rPr>
        <w:t xml:space="preserve">Document uploads do not occur directly from the browser to Pinata. Instead, the frontend posts the file to a Cloudflare Worker serverless function deployed at the /api/upload endpoint. The Worker validates file size (maximum 5MB) and MIME type (PDF, JPEG, PNG), then authenticates with Pinata using a server-side JWT stored in Cloudflare Secrets. This architecture ensures that the Pinata API token is never exposed in the frontend JavaScript bundle. The Worker returns the IPFS CID to the frontend, which then stores it on-chain as the documentHash field via the registerProperty() transaction.</w:t>
      </w:r>
    </w:p>
    <w:p>
      <w:pPr>
        <w:pStyle w:val="Heading2"/>
        <w:spacing w:after="160" w:before="320" w:line="360" w:lineRule="auto"/>
      </w:pPr>
      <w:r>
        <w:rPr>
          <w:rFonts w:ascii="Times New Roman" w:cs="Times New Roman" w:eastAsia="Times New Roman" w:hAnsi="Times New Roman"/>
          <w:b/>
          <w:bCs/>
          <w:sz w:val="24"/>
          <w:szCs w:val="24"/>
        </w:rPr>
        <w:t xml:space="preserve">4.3 Frontend Implementation</w:t>
      </w:r>
    </w:p>
    <w:p>
      <w:pPr>
        <w:pStyle w:val="Heading3"/>
        <w:spacing w:after="120" w:before="240" w:line="360" w:lineRule="auto"/>
      </w:pPr>
      <w:r>
        <w:rPr>
          <w:rFonts w:ascii="Times New Roman" w:cs="Times New Roman" w:eastAsia="Times New Roman" w:hAnsi="Times New Roman"/>
          <w:b/>
          <w:bCs/>
          <w:i/>
          <w:iCs/>
          <w:sz w:val="24"/>
          <w:szCs w:val="24"/>
        </w:rPr>
        <w:t xml:space="preserve">4.3.1 Application Structure</w:t>
      </w:r>
    </w:p>
    <w:p>
      <w:pPr>
        <w:spacing w:after="160" w:line="360" w:lineRule="auto"/>
        <w:jc w:val="both"/>
      </w:pPr>
      <w:r>
        <w:rPr>
          <w:rFonts w:ascii="Times New Roman" w:cs="Times New Roman" w:eastAsia="Times New Roman" w:hAnsi="Times New Roman"/>
          <w:sz w:val="24"/>
          <w:szCs w:val="24"/>
        </w:rPr>
        <w:t xml:space="preserve">The React application uses a provider hierarchy of ThemeProvider wrapping ToastProvider wrapping the React Router, ensuring that theme and notification contexts are available to all routes. The NetworkGuard component is rendered globally below the navigation bar, providing a full-screen warning overlay whenever the connected wallet is on an incorrect chain, blocking all write operations.</w:t>
      </w:r>
    </w:p>
    <w:p>
      <w:pPr>
        <w:pStyle w:val="Heading3"/>
        <w:spacing w:after="120" w:before="240" w:line="360" w:lineRule="auto"/>
      </w:pPr>
      <w:r>
        <w:rPr>
          <w:rFonts w:ascii="Times New Roman" w:cs="Times New Roman" w:eastAsia="Times New Roman" w:hAnsi="Times New Roman"/>
          <w:b/>
          <w:bCs/>
          <w:i/>
          <w:iCs/>
          <w:sz w:val="24"/>
          <w:szCs w:val="24"/>
        </w:rPr>
        <w:t xml:space="preserve">4.3.2 Application Routes</w:t>
      </w:r>
    </w:p>
    <w:p>
      <w:pPr>
        <w:spacing w:after="160" w:line="360" w:lineRule="auto"/>
        <w:jc w:val="both"/>
      </w:pPr>
      <w:r>
        <w:rPr>
          <w:rFonts w:ascii="Times New Roman" w:cs="Times New Roman" w:eastAsia="Times New Roman" w:hAnsi="Times New Roman"/>
          <w:sz w:val="24"/>
          <w:szCs w:val="24"/>
        </w:rPr>
        <w:t xml:space="preserve">Table 4.1 presents the eight routes of the TerraLedger frontend application.</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904"/>
      </w:tblGrid>
      <w:tr>
        <w:trPr>
          <w:tblHeader/>
        </w:trPr>
        <w:tc>
          <w:tcPr>
            <w:tcW w:type="dxa" w:w="12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Route</w:t>
            </w:r>
          </w:p>
        </w:tc>
        <w:tc>
          <w:tcPr>
            <w:tcW w:type="dxa" w:w="24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Component</w:t>
            </w:r>
          </w:p>
        </w:tc>
        <w:tc>
          <w:tcPr>
            <w:tcW w:type="dxa" w:w="49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Purpose</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Dashboard.jsx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Live statistics: total properties, pending transfers, active registrars</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RegisterProperty.jsx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 registration form with IPFS document upload</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TransferOwnership.jsx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Dual-view: Citizen request and Registrar approve/reject queue</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ImmutableRecords.jsx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Browse all registered properties</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/search</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PropertySearch.jsx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Search by ID, owner address, or location keyword</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/transactions</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TransactionHistory.jsx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Chronological history of all on-chain events</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/wallet</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WalletAuth.jsx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MetaMask connection and wallet role details</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/roles</w:t>
            </w:r>
          </w:p>
        </w:tc>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RoleManager.jsx</w:t>
            </w:r>
          </w:p>
        </w:tc>
        <w:tc>
          <w:tcPr>
            <w:tcW w:type="dxa" w:w="4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Authority dashboard for Registrar role management</w:t>
            </w:r>
          </w:p>
        </w:tc>
      </w:tr>
    </w:tbl>
    <w:p>
      <w:pPr>
        <w:spacing w:after="240" w:before="120"/>
        <w:jc w:val="center"/>
      </w:pPr>
      <w:r>
        <w:rPr>
          <w:rFonts w:ascii="Times New Roman" w:cs="Times New Roman" w:eastAsia="Times New Roman" w:hAnsi="Times New Roman"/>
          <w:i/>
          <w:iCs/>
          <w:sz w:val="20"/>
          <w:szCs w:val="20"/>
        </w:rPr>
        <w:t xml:space="preserve">Table 4.1: Frontend Application Routes</w:t>
      </w:r>
    </w:p>
    <w:p>
      <w:pPr>
        <w:pStyle w:val="Heading3"/>
        <w:spacing w:after="120" w:before="240" w:line="360" w:lineRule="auto"/>
      </w:pPr>
      <w:r>
        <w:rPr>
          <w:rFonts w:ascii="Times New Roman" w:cs="Times New Roman" w:eastAsia="Times New Roman" w:hAnsi="Times New Roman"/>
          <w:b/>
          <w:bCs/>
          <w:i/>
          <w:iCs/>
          <w:sz w:val="24"/>
          <w:szCs w:val="24"/>
        </w:rPr>
        <w:t xml:space="preserve">4.3.3 Custom Hooks</w:t>
      </w:r>
    </w:p>
    <w:p>
      <w:pPr>
        <w:spacing w:after="160" w:line="360" w:lineRule="auto"/>
        <w:jc w:val="both"/>
      </w:pPr>
      <w:r>
        <w:rPr>
          <w:rFonts w:ascii="Times New Roman" w:cs="Times New Roman" w:eastAsia="Times New Roman" w:hAnsi="Times New Roman"/>
          <w:sz w:val="24"/>
          <w:szCs w:val="24"/>
        </w:rPr>
        <w:t xml:space="preserve">Three custom hooks encapsulate all blockchain connectivity logic. useWalletRoles.js queries the contract for AUTHORITY_ROLE and REGISTRAR_ROLE on every mount and re-queries on MetaMask's accountsChanged and chainChanged events, returning the current wallet's role status. useAdmin.js manages the signer and contract instance for write operations. useNetwork.js monitors the active chainId and provides a switchToCorrectNetwork() function using the wallet_switchEthereumChain RPC method with a fallback to wallet_addEthereumChain for networks not yet in MetaMask's configuration.</w:t>
      </w:r>
    </w:p>
    <w:p>
      <w:pPr>
        <w:pStyle w:val="Heading3"/>
        <w:spacing w:after="120" w:before="240" w:line="360" w:lineRule="auto"/>
      </w:pPr>
      <w:r>
        <w:rPr>
          <w:rFonts w:ascii="Times New Roman" w:cs="Times New Roman" w:eastAsia="Times New Roman" w:hAnsi="Times New Roman"/>
          <w:b/>
          <w:bCs/>
          <w:i/>
          <w:iCs/>
          <w:sz w:val="24"/>
          <w:szCs w:val="24"/>
        </w:rPr>
        <w:t xml:space="preserve">4.3.4 Wallet-less Read Access</w:t>
      </w:r>
    </w:p>
    <w:p>
      <w:pPr>
        <w:spacing w:after="160" w:line="360" w:lineRule="auto"/>
        <w:jc w:val="both"/>
      </w:pPr>
      <w:r>
        <w:rPr>
          <w:rFonts w:ascii="Times New Roman" w:cs="Times New Roman" w:eastAsia="Times New Roman" w:hAnsi="Times New Roman"/>
          <w:sz w:val="24"/>
          <w:szCs w:val="24"/>
        </w:rPr>
        <w:t xml:space="preserve">The contractConfig.js module implements a dynamic provider selection strategy: if window.ethereum is available (MetaMask present), a BrowserProvider is used for read and write operations; otherwise, a JsonRpcProvider connecting to the public Sepolia node at ethereum-sepolia-rpc.publicnode.com is used for read-only access. This enables mobile users, incognito browsers, and citizens without cryptocurrency wallets to access all public land records without any friction. A single environment variable (VITE_NETWORK) switches the entire application between local Hardhat development and Sepolia production targets.</w:t>
      </w:r>
    </w:p>
    <w:p>
      <w:pPr>
        <w:pStyle w:val="Heading2"/>
        <w:spacing w:after="160" w:before="320" w:line="360" w:lineRule="auto"/>
      </w:pPr>
      <w:r>
        <w:rPr>
          <w:rFonts w:ascii="Times New Roman" w:cs="Times New Roman" w:eastAsia="Times New Roman" w:hAnsi="Times New Roman"/>
          <w:b/>
          <w:bCs/>
          <w:sz w:val="24"/>
          <w:szCs w:val="24"/>
        </w:rPr>
        <w:t xml:space="preserve">4.4 Event Indexing and Chunked Provider</w:t>
      </w:r>
    </w:p>
    <w:p>
      <w:pPr>
        <w:spacing w:after="160" w:line="360" w:lineRule="auto"/>
        <w:jc w:val="both"/>
      </w:pPr>
      <w:r>
        <w:rPr>
          <w:rFonts w:ascii="Times New Roman" w:cs="Times New Roman" w:eastAsia="Times New Roman" w:hAnsi="Times New Roman"/>
          <w:sz w:val="24"/>
          <w:szCs w:val="24"/>
        </w:rPr>
        <w:t xml:space="preserve">To efficiently retrieve historical events from the blockchain without exceeding the 50,000-block limit of most RPC providers, TerraLedger implements a chunked provider utility (chunkedProvider.js). The utility divides the block range from the DEPLOY_BLOCK constant to the current block into chunks of 40,000 blocks and fetches all chunks in parallel using Promise.all(), with failed chunks returning empty arrays rather than crashing the application. The DEPLOY_BLOCK constant (10,725,429 on Sepolia) eliminates scanning of the millions of blocks before contract deployment, reducing both query time and RPC cost.</w:t>
      </w:r>
    </w:p>
    <w:p>
      <w:pPr>
        <w:pStyle w:val="Heading2"/>
        <w:spacing w:after="160" w:before="320" w:line="360" w:lineRule="auto"/>
      </w:pPr>
      <w:r>
        <w:rPr>
          <w:rFonts w:ascii="Times New Roman" w:cs="Times New Roman" w:eastAsia="Times New Roman" w:hAnsi="Times New Roman"/>
          <w:b/>
          <w:bCs/>
          <w:sz w:val="24"/>
          <w:szCs w:val="24"/>
        </w:rPr>
        <w:t xml:space="preserve">4.5 Theme Engine</w:t>
      </w:r>
    </w:p>
    <w:p>
      <w:pPr>
        <w:spacing w:after="160" w:line="360" w:lineRule="auto"/>
        <w:jc w:val="both"/>
      </w:pPr>
      <w:r>
        <w:rPr>
          <w:rFonts w:ascii="Times New Roman" w:cs="Times New Roman" w:eastAsia="Times New Roman" w:hAnsi="Times New Roman"/>
          <w:sz w:val="24"/>
          <w:szCs w:val="24"/>
        </w:rPr>
        <w:t xml:space="preserve">The application features a system-aware dark/light theme engine that detects the user's OS preference via the window.matchMedia('(prefers-color-scheme: dark)') API, stores the preference in localStorage under the key terra_theme, and applies the theme by setting a data-theme attribute on the HTML element. The design language employs custom HSL-based CSS variables, frosted glass (glassmorphism) effects, smooth micro-animations, and vibrant gradients to provide a modern, professional user interface appropriate for a public governance tool.</w:t>
      </w:r>
    </w:p>
    <w:p>
      <w:pPr>
        <w:pStyle w:val="Heading2"/>
        <w:spacing w:after="160" w:before="320" w:line="360" w:lineRule="auto"/>
      </w:pPr>
      <w:r>
        <w:rPr>
          <w:rFonts w:ascii="Times New Roman" w:cs="Times New Roman" w:eastAsia="Times New Roman" w:hAnsi="Times New Roman"/>
          <w:b/>
          <w:bCs/>
          <w:sz w:val="24"/>
          <w:szCs w:val="24"/>
        </w:rPr>
        <w:t xml:space="preserve">4.6 Toast Notification System</w:t>
      </w:r>
    </w:p>
    <w:p>
      <w:pPr>
        <w:spacing w:after="160" w:line="360" w:lineRule="auto"/>
        <w:jc w:val="both"/>
      </w:pPr>
      <w:r>
        <w:rPr>
          <w:rFonts w:ascii="Times New Roman" w:cs="Times New Roman" w:eastAsia="Times New Roman" w:hAnsi="Times New Roman"/>
          <w:sz w:val="24"/>
          <w:szCs w:val="24"/>
        </w:rPr>
        <w:t xml:space="preserve">Transaction lifecycle notifications are delivered via a custom Toast system implemented with React Context and React's createPortal API. The system supports four statuses (pending with spinner animation, success with checkmark, error with X icon, and informational) and an updateToast API that enables in-place transition from pending to success or error — providing real-time feedback as a blockchain transaction progresses from submission through mempool inclusion to block confirmation. Toasts support configurable auto-dismiss durations and are accessibility-compliant with ARIA role='alert', aria-live='polite', and aria-atomic='false' attributes.</w:t>
      </w:r>
    </w:p>
    <w:p>
      <w:r>
        <w:br w:type="page"/>
      </w:r>
    </w:p>
    <w:p>
      <w:pPr>
        <w:pStyle w:val="Heading1"/>
        <w:spacing w:after="240" w:before="480" w:line="360" w:lineRule="auto"/>
      </w:pPr>
      <w:r>
        <w:rPr>
          <w:rFonts w:ascii="Times New Roman" w:cs="Times New Roman" w:eastAsia="Times New Roman" w:hAnsi="Times New Roman"/>
          <w:b/>
          <w:bCs/>
          <w:sz w:val="28"/>
          <w:szCs w:val="28"/>
        </w:rPr>
        <w:t xml:space="preserve">Chapter 5: Results and Discussions</w:t>
      </w:r>
    </w:p>
    <w:p>
      <w:pPr>
        <w:pStyle w:val="Heading2"/>
        <w:spacing w:after="160" w:before="320" w:line="360" w:lineRule="auto"/>
      </w:pPr>
      <w:r>
        <w:rPr>
          <w:rFonts w:ascii="Times New Roman" w:cs="Times New Roman" w:eastAsia="Times New Roman" w:hAnsi="Times New Roman"/>
          <w:b/>
          <w:bCs/>
          <w:sz w:val="24"/>
          <w:szCs w:val="24"/>
        </w:rPr>
        <w:t xml:space="preserve">5.1 Multi-User End-to-End Validation</w:t>
      </w:r>
    </w:p>
    <w:p>
      <w:pPr>
        <w:spacing w:after="160" w:line="360" w:lineRule="auto"/>
        <w:jc w:val="both"/>
      </w:pPr>
      <w:r>
        <w:rPr>
          <w:rFonts w:ascii="Times New Roman" w:cs="Times New Roman" w:eastAsia="Times New Roman" w:hAnsi="Times New Roman"/>
          <w:sz w:val="24"/>
          <w:szCs w:val="24"/>
        </w:rPr>
        <w:t xml:space="preserve">The system was validated through a complete end-to-end multi-user simulation using three separate MetaMask wallets on the live Ethereum Sepolia testnet. Table 5.1 presents the seven-step simulation scenario and confirmed results.</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00"/>
        <w:gridCol w:w="3004"/>
      </w:tblGrid>
      <w:tr>
        <w:trPr>
          <w:tblHeader/>
        </w:trPr>
        <w:tc>
          <w:tcPr>
            <w:tcW w:type="dxa" w:w="6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Step</w:t>
            </w:r>
          </w:p>
        </w:tc>
        <w:tc>
          <w:tcPr>
            <w:tcW w:type="dxa" w:w="19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Actor</w:t>
            </w:r>
          </w:p>
        </w:tc>
        <w:tc>
          <w:tcPr>
            <w:tcW w:type="dxa" w:w="3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Action</w:t>
            </w:r>
          </w:p>
        </w:tc>
        <w:tc>
          <w:tcPr>
            <w:tcW w:type="dxa" w:w="30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Result</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A (Authority)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Deploy contract; verify AUTHORITY_ROLE on Role Manager</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Contract live on Sepolia. Authority confirmed.</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A (Authority)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Grant REGISTRAR_ROLE to Account B via addRegistrar()</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B gains Registrar badge. Gas: ~50,000.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B (Registrar)</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registerProperty(owner=C) with PDF deed uploaded to IPFS</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 #1 minted. CID stored on-chain. Gas: 244,229.</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04</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C (Owner)</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requestTransfer(propertyId=1, buyer=A)</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 #1 set to PENDING. Gas: 51,500.</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05</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B (Registrar)</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approveTransfer(propertyId=1)</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Ownership transferred to Account A. Gas: 38,852.</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06</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A</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requestTransfer then cancelTransfer before approval</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 cancelled. Property returns to AVAILABLE.</w:t>
            </w:r>
          </w:p>
        </w:tc>
      </w:tr>
      <w:tr>
        <w:tc>
          <w:tcPr>
            <w:tcW w:type="dxa" w:w="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07</w:t>
            </w:r>
          </w:p>
        </w:tc>
        <w:tc>
          <w:tcPr>
            <w:tcW w:type="dxa" w:w="19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Account A (Authority)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revokeRegistrar(B); Account B attempts registerProperty()</w:t>
            </w:r>
          </w:p>
        </w:tc>
        <w:tc>
          <w:tcPr>
            <w:tcW w:type="dxa" w:w="30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B's tx reverts with AccessControl error. RBAC enforced.</w:t>
            </w:r>
          </w:p>
        </w:tc>
      </w:tr>
    </w:tbl>
    <w:p>
      <w:pPr>
        <w:spacing w:after="240" w:before="120"/>
        <w:jc w:val="center"/>
      </w:pPr>
      <w:r>
        <w:rPr>
          <w:rFonts w:ascii="Times New Roman" w:cs="Times New Roman" w:eastAsia="Times New Roman" w:hAnsi="Times New Roman"/>
          <w:i/>
          <w:iCs/>
          <w:sz w:val="20"/>
          <w:szCs w:val="20"/>
        </w:rPr>
        <w:t xml:space="preserve">Table 5.1: Multi-User Simulation Results on Ethereum Sepolia</w:t>
      </w:r>
    </w:p>
    <w:p>
      <w:pPr>
        <w:spacing w:after="160" w:line="360" w:lineRule="auto"/>
        <w:jc w:val="both"/>
      </w:pPr>
      <w:r>
        <w:rPr>
          <w:rFonts w:ascii="Times New Roman" w:cs="Times New Roman" w:eastAsia="Times New Roman" w:hAnsi="Times New Roman"/>
          <w:sz w:val="24"/>
          <w:szCs w:val="24"/>
        </w:rPr>
        <w:t xml:space="preserve">All seven simulation steps completed successfully, confirming that the RBAC hierarchy, ownership transfer state machine, and role revocation mechanisms function correctly in a live multi-user environment on the Ethereum mainnet-equivalent test network.</w:t>
      </w:r>
    </w:p>
    <w:p>
      <w:pPr>
        <w:pStyle w:val="Heading2"/>
        <w:spacing w:after="160" w:before="320" w:line="360" w:lineRule="auto"/>
      </w:pPr>
      <w:r>
        <w:rPr>
          <w:rFonts w:ascii="Times New Roman" w:cs="Times New Roman" w:eastAsia="Times New Roman" w:hAnsi="Times New Roman"/>
          <w:b/>
          <w:bCs/>
          <w:sz w:val="24"/>
          <w:szCs w:val="24"/>
        </w:rPr>
        <w:t xml:space="preserve">5.2 Gas Metrics and Economic Viability</w:t>
      </w:r>
    </w:p>
    <w:p>
      <w:pPr>
        <w:pStyle w:val="Heading3"/>
        <w:spacing w:after="120" w:before="240" w:line="360" w:lineRule="auto"/>
      </w:pPr>
      <w:r>
        <w:rPr>
          <w:rFonts w:ascii="Times New Roman" w:cs="Times New Roman" w:eastAsia="Times New Roman" w:hAnsi="Times New Roman"/>
          <w:b/>
          <w:bCs/>
          <w:i/>
          <w:iCs/>
          <w:sz w:val="24"/>
          <w:szCs w:val="24"/>
        </w:rPr>
        <w:t xml:space="preserve">5.2.1 Live Sepolia Measurements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3704"/>
      </w:tblGrid>
      <w:tr>
        <w:trPr>
          <w:tblHeader/>
        </w:trPr>
        <w:tc>
          <w:tcPr>
            <w:tcW w:type="dxa" w:w="32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Operation</w:t>
            </w:r>
          </w:p>
        </w:tc>
        <w:tc>
          <w:tcPr>
            <w:tcW w:type="dxa" w:w="16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Gas Used</w:t>
            </w:r>
          </w:p>
        </w:tc>
        <w:tc>
          <w:tcPr>
            <w:tcW w:type="dxa" w:w="37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Transaction Hash (Abbreviated)</w:t>
            </w:r>
          </w:p>
        </w:tc>
      </w:tr>
      <w:t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Contract Deployment</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2,115,315</w:t>
            </w:r>
          </w:p>
        </w:tc>
        <w:tc>
          <w:tcPr>
            <w:tcW w:type="dxa" w:w="3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0x9800ae6c...537fc455</w:t>
            </w:r>
          </w:p>
        </w:tc>
      </w:tr>
      <w:tr>
        <w:tc>
          <w:tcPr>
            <w:tcW w:type="dxa" w:w="3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registerProperty()</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244,229</w:t>
            </w:r>
          </w:p>
        </w:tc>
        <w:tc>
          <w:tcPr>
            <w:tcW w:type="dxa" w:w="3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0x0e4ac6c4...bd9792e</w:t>
            </w:r>
          </w:p>
        </w:tc>
      </w:tr>
    </w:tbl>
    <w:p>
      <w:pPr>
        <w:spacing w:after="240" w:before="120"/>
        <w:jc w:val="center"/>
      </w:pPr>
      <w:r>
        <w:rPr>
          <w:rFonts w:ascii="Times New Roman" w:cs="Times New Roman" w:eastAsia="Times New Roman" w:hAnsi="Times New Roman"/>
          <w:i/>
          <w:iCs/>
          <w:sz w:val="20"/>
          <w:szCs w:val="20"/>
        </w:rPr>
        <w:t xml:space="preserve">Table 5.2: Live Sepolia Testnet Gas Measurements</w:t>
      </w:r>
    </w:p>
    <w:p>
      <w:pPr>
        <w:pStyle w:val="Heading3"/>
        <w:spacing w:after="120" w:before="240" w:line="360" w:lineRule="auto"/>
      </w:pPr>
      <w:r>
        <w:rPr>
          <w:rFonts w:ascii="Times New Roman" w:cs="Times New Roman" w:eastAsia="Times New Roman" w:hAnsi="Times New Roman"/>
          <w:b/>
          <w:bCs/>
          <w:i/>
          <w:iCs/>
          <w:sz w:val="24"/>
          <w:szCs w:val="24"/>
        </w:rPr>
        <w:t xml:space="preserve">5.2.2 Hardhat Local Measurements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0"/>
        <w:gridCol w:w="3504"/>
      </w:tblGrid>
      <w:tr>
        <w:trPr>
          <w:tblHeader/>
        </w:trPr>
        <w:tc>
          <w:tcPr>
            <w:tcW w:type="dxa" w:w="5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Function</w:t>
            </w:r>
          </w:p>
        </w:tc>
        <w:tc>
          <w:tcPr>
            <w:tcW w:type="dxa" w:w="35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Gas Used (Hardhat - Deterministic)</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registerProperty()</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289,529</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requestTransfer()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51,500</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approveTransfer()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38,852</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updatePropertyDocument()</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47,735</w:t>
            </w:r>
          </w:p>
        </w:tc>
      </w:tr>
    </w:tbl>
    <w:p>
      <w:pPr>
        <w:spacing w:after="240" w:before="120"/>
        <w:jc w:val="center"/>
      </w:pPr>
      <w:r>
        <w:rPr>
          <w:rFonts w:ascii="Times New Roman" w:cs="Times New Roman" w:eastAsia="Times New Roman" w:hAnsi="Times New Roman"/>
          <w:i/>
          <w:iCs/>
          <w:sz w:val="20"/>
          <w:szCs w:val="20"/>
        </w:rPr>
        <w:t xml:space="preserve">Table 5.3: Hardhat Local Network Gas Measurements</w:t>
      </w:r>
    </w:p>
    <w:p>
      <w:pPr>
        <w:pStyle w:val="Heading3"/>
        <w:spacing w:after="120" w:before="240" w:line="360" w:lineRule="auto"/>
      </w:pPr>
      <w:r>
        <w:rPr>
          <w:rFonts w:ascii="Times New Roman" w:cs="Times New Roman" w:eastAsia="Times New Roman" w:hAnsi="Times New Roman"/>
          <w:b/>
          <w:bCs/>
          <w:i/>
          <w:iCs/>
          <w:sz w:val="24"/>
          <w:szCs w:val="24"/>
        </w:rPr>
        <w:t xml:space="preserve">5.2.3 Cost Analysis</w:t>
      </w:r>
    </w:p>
    <w:p>
      <w:pPr>
        <w:spacing w:after="160" w:line="360" w:lineRule="auto"/>
        <w:jc w:val="both"/>
      </w:pPr>
      <w:r>
        <w:rPr>
          <w:rFonts w:ascii="Times New Roman" w:cs="Times New Roman" w:eastAsia="Times New Roman" w:hAnsi="Times New Roman"/>
          <w:sz w:val="24"/>
          <w:szCs w:val="24"/>
        </w:rPr>
        <w:t xml:space="preserve">At a gas price of 1.505 Gwei on Sepolia, the transaction fee for a property registration is 0.000367556305800795 ETH (approximately 0.00037 ETH). The gas utilization ratio is 98.74% (244,229 gas used out of a 247,335 gas limit), demonstrating highly efficient contract optimization. For context, this represents a fraction of the administrative fees charged in traditional land registration processes, which in India can range from 1% to 7% of the property value.</w:t>
      </w:r>
    </w:p>
    <w:p>
      <w:pPr>
        <w:pStyle w:val="Heading2"/>
        <w:spacing w:after="160" w:before="320" w:line="360" w:lineRule="auto"/>
      </w:pPr>
      <w:r>
        <w:rPr>
          <w:rFonts w:ascii="Times New Roman" w:cs="Times New Roman" w:eastAsia="Times New Roman" w:hAnsi="Times New Roman"/>
          <w:b/>
          <w:bCs/>
          <w:sz w:val="24"/>
          <w:szCs w:val="24"/>
        </w:rPr>
        <w:t xml:space="preserve">5.3 Transaction Performance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0"/>
        <w:gridCol w:w="3504"/>
      </w:tblGrid>
      <w:tr>
        <w:trPr>
          <w:tblHeader/>
        </w:trPr>
        <w:tc>
          <w:tcPr>
            <w:tcW w:type="dxa" w:w="5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Phase</w:t>
            </w:r>
          </w:p>
        </w:tc>
        <w:tc>
          <w:tcPr>
            <w:tcW w:type="dxa" w:w="35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Duration</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 Upload (Pinata API)</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2 - 5 seconds</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MetaMask Signature Prompt</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User-dependent</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Transaction Broadcast to Mempool</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&lt; 1 second</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Block Inclusion (1 confirmation)</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 seconds</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 Block Confirmations (recommended)</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~36 seconds</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Frontend UI Update (event-driven)</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&lt; 1 second after confirmation</w:t>
            </w:r>
          </w:p>
        </w:tc>
      </w:tr>
      <w:tr>
        <w:tc>
          <w:tcPr>
            <w:tcW w:type="dxa" w:w="5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Total (excluding user input)</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 to 42 seconds</w:t>
            </w:r>
          </w:p>
        </w:tc>
      </w:tr>
    </w:tbl>
    <w:p>
      <w:pPr>
        <w:spacing w:after="240" w:before="120"/>
        <w:jc w:val="center"/>
      </w:pPr>
      <w:r>
        <w:rPr>
          <w:rFonts w:ascii="Times New Roman" w:cs="Times New Roman" w:eastAsia="Times New Roman" w:hAnsi="Times New Roman"/>
          <w:i/>
          <w:iCs/>
          <w:sz w:val="20"/>
          <w:szCs w:val="20"/>
        </w:rPr>
        <w:t xml:space="preserve">Table 5.4: End-to-End Transaction Lifecycle</w:t>
      </w:r>
    </w:p>
    <w:p>
      <w:pPr>
        <w:spacing w:after="160" w:line="360" w:lineRule="auto"/>
        <w:jc w:val="both"/>
      </w:pPr>
      <w:r>
        <w:rPr>
          <w:rFonts w:ascii="Times New Roman" w:cs="Times New Roman" w:eastAsia="Times New Roman" w:hAnsi="Times New Roman"/>
          <w:sz w:val="24"/>
          <w:szCs w:val="24"/>
        </w:rPr>
        <w:t xml:space="preserve">The total end-to-end time of 15 to 42 seconds represents a reduction of several orders of magnitude compared to the multi-week processes of traditional manual land registries, while providing cryptographic guarantees unavailable in any manual system. The deployment block (#10,725,429) and first registration block (#10,725,509) demonstrate an average block interval of approximately 12 seconds, consistent with Ethereum Sepolia's consensus parameters.</w:t>
      </w:r>
    </w:p>
    <w:p>
      <w:pPr>
        <w:pStyle w:val="Heading2"/>
        <w:spacing w:after="160" w:before="320" w:line="360" w:lineRule="auto"/>
      </w:pPr>
      <w:r>
        <w:rPr>
          <w:rFonts w:ascii="Times New Roman" w:cs="Times New Roman" w:eastAsia="Times New Roman" w:hAnsi="Times New Roman"/>
          <w:b/>
          <w:bCs/>
          <w:sz w:val="24"/>
          <w:szCs w:val="24"/>
        </w:rPr>
        <w:t xml:space="preserve">5.4 Security Analysis</w:t>
      </w:r>
    </w:p>
    <w:p>
      <w:pPr>
        <w:spacing w:after="160" w:line="360" w:lineRule="auto"/>
        <w:jc w:val="both"/>
      </w:pPr>
      <w:r>
        <w:rPr>
          <w:rFonts w:ascii="Times New Roman" w:cs="Times New Roman" w:eastAsia="Times New Roman" w:hAnsi="Times New Roman"/>
          <w:sz w:val="24"/>
          <w:szCs w:val="24"/>
        </w:rPr>
        <w:t xml:space="preserve">Table 5.5 presents the comprehensive security threat mitigation matrix for TerraLedger.</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tblHeader/>
        </w:trPr>
        <w:tc>
          <w:tcPr>
            <w:tcW w:type="dxa" w:w="3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Threat</w:t>
            </w:r>
          </w:p>
        </w:tc>
        <w:tc>
          <w:tcPr>
            <w:tcW w:type="dxa" w:w="55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Mitigation Strategy</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Unauthorized Minting</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EVM-enforced RBAC: onlyRole(REGISTRAR_ROLE) modifier on registerProperty(); reverts with AccessControl error if violated</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Document Tampering</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 content addressing: altering a single byte of a deed changes the CID entirely, invalidating the on-chain record</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Front-Running Transfers</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Dual-signature FSM: both owner's requestTransfer() and an independent Registrar's approveTransfer() are required to finalize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Double-Spending</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Ethereum PoS consensus enforces single-state truth across the distributed ledger; duplicate ownership is impossible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Wrong Network Actions</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NetworkGuard.jsx renders a full-screen overlay and blocks all write operations on any non-Sepolia chain</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API Token Exposure</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Cloudflare Worker stores Pinata JWT in server-side Cloudflare Secrets; never exposed in frontend bundle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Private Key Exposure</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MetaMask signs all transactions locally; TerraLedger application never handles or transmits private keys</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RPC Rate Limiting</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Chunked parallel event fetching with 40,000-block chunks; The Graph Protocol for production O(1) indexing</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Centralization Risk</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Multisig wallet (Gnosis Safe) + TimelockController (48-hour delay) for all admin operations in production</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Unauthorized Upgrade (Future)</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UUPS pattern with upgrades gated to AUTHORITY_ROLE multi-sig with mandatory 48-hour timelock for community audit</w:t>
            </w:r>
          </w:p>
        </w:tc>
      </w:tr>
    </w:tbl>
    <w:p>
      <w:pPr>
        <w:spacing w:after="240" w:before="120"/>
        <w:jc w:val="center"/>
      </w:pPr>
      <w:r>
        <w:rPr>
          <w:rFonts w:ascii="Times New Roman" w:cs="Times New Roman" w:eastAsia="Times New Roman" w:hAnsi="Times New Roman"/>
          <w:i/>
          <w:iCs/>
          <w:sz w:val="20"/>
          <w:szCs w:val="20"/>
        </w:rPr>
        <w:t xml:space="preserve">Table 5.5: Security Threat Mitigation Matrix</w:t>
      </w:r>
    </w:p>
    <w:p>
      <w:pPr>
        <w:pStyle w:val="Heading2"/>
        <w:spacing w:after="160" w:before="320" w:line="360" w:lineRule="auto"/>
      </w:pPr>
      <w:r>
        <w:rPr>
          <w:rFonts w:ascii="Times New Roman" w:cs="Times New Roman" w:eastAsia="Times New Roman" w:hAnsi="Times New Roman"/>
          <w:b/>
          <w:bCs/>
          <w:sz w:val="24"/>
          <w:szCs w:val="24"/>
        </w:rPr>
        <w:t xml:space="preserve">5.5 Scalability Analysis</w:t>
      </w:r>
    </w:p>
    <w:p>
      <w:pPr>
        <w:spacing w:after="160" w:line="360" w:lineRule="auto"/>
        <w:jc w:val="both"/>
      </w:pPr>
      <w:r>
        <w:rPr>
          <w:rFonts w:ascii="Times New Roman" w:cs="Times New Roman" w:eastAsia="Times New Roman" w:hAnsi="Times New Roman"/>
          <w:sz w:val="24"/>
          <w:szCs w:val="24"/>
        </w:rPr>
        <w:t xml:space="preserve">Table 5.6 shows query performance characteristics at different registry scales using the current eth_getLogs approach.</w:t>
      </w:r>
    </w:p>
    <w:p>
      <w:pPr>
        <w:spacing w:line="360" w:lineRule="auto"/>
      </w:pPr>
      <w: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904"/>
      </w:tblGrid>
      <w:tr>
        <w:trPr>
          <w:tblHeader/>
        </w:trPr>
        <w:tc>
          <w:tcPr>
            <w:tcW w:type="dxa" w:w="26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Registry Scale</w:t>
            </w:r>
          </w:p>
        </w:tc>
        <w:tc>
          <w:tcPr>
            <w:tcW w:type="dxa" w:w="2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Block Range Scanned</w:t>
            </w:r>
          </w:p>
        </w:tc>
        <w:tc>
          <w:tcPr>
            <w:tcW w:type="dxa" w:w="2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Query Time</w:t>
            </w:r>
          </w:p>
        </w:tc>
        <w:tc>
          <w:tcPr>
            <w:tcW w:type="dxa" w:w="19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RPC Cost</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 properties (~100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&lt; 1 second</w:t>
            </w:r>
          </w:p>
        </w:tc>
        <w:tc>
          <w:tcPr>
            <w:tcW w:type="dxa" w:w="1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Negligible</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 properties (~10,000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~10,000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 to 15 seconds</w:t>
            </w:r>
          </w:p>
        </w:tc>
        <w:tc>
          <w:tcPr>
            <w:tcW w:type="dxa" w:w="1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Moderate</w:t>
            </w:r>
          </w:p>
        </w:tc>
      </w:tr>
      <w:t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100,000 properties (~1M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~1,000,000 blocks</w:t>
            </w:r>
          </w:p>
        </w:tc>
        <w:tc>
          <w:tcPr>
            <w:tcW w:type="dxa" w:w="2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Fails (60-300s)</w:t>
            </w:r>
          </w:p>
        </w:tc>
        <w:tc>
          <w:tcPr>
            <w:tcW w:type="dxa" w:w="19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Expensive</w:t>
            </w:r>
          </w:p>
        </w:tc>
      </w:tr>
    </w:tbl>
    <w:p>
      <w:pPr>
        <w:spacing w:after="240" w:before="120"/>
        <w:jc w:val="center"/>
      </w:pPr>
      <w:r>
        <w:rPr>
          <w:rFonts w:ascii="Times New Roman" w:cs="Times New Roman" w:eastAsia="Times New Roman" w:hAnsi="Times New Roman"/>
          <w:i/>
          <w:iCs/>
          <w:sz w:val="20"/>
          <w:szCs w:val="20"/>
        </w:rPr>
        <w:t xml:space="preserve">Table 5.6: Query Performance vs Registry Scale</w:t>
      </w:r>
    </w:p>
    <w:p>
      <w:pPr>
        <w:spacing w:after="160" w:line="360" w:lineRule="auto"/>
        <w:jc w:val="both"/>
      </w:pPr>
      <w:r>
        <w:rPr>
          <w:rFonts w:ascii="Times New Roman" w:cs="Times New Roman" w:eastAsia="Times New Roman" w:hAnsi="Times New Roman"/>
          <w:sz w:val="24"/>
          <w:szCs w:val="24"/>
        </w:rPr>
        <w:t xml:space="preserve">This analysis confirms the necessity of The Graph Protocol integration for production-scale deployment. The Graph indexes smart contract events into a PostgreSQL database and exposes a GraphQL endpoint, reducing query complexity from O(n) with n network round-trips to O(1) with a single HTTP request. The Graph is used in production by major DeFi protocols including Uniswap, Aave, and ENS.</w:t>
      </w:r>
    </w:p>
    <w:p>
      <w:r>
        <w:br w:type="page"/>
      </w:r>
    </w:p>
    <w:p>
      <w:pPr>
        <w:pStyle w:val="Heading1"/>
        <w:spacing w:after="240" w:before="480" w:line="360" w:lineRule="auto"/>
      </w:pPr>
      <w:r>
        <w:rPr>
          <w:rFonts w:ascii="Times New Roman" w:cs="Times New Roman" w:eastAsia="Times New Roman" w:hAnsi="Times New Roman"/>
          <w:b/>
          <w:bCs/>
          <w:sz w:val="28"/>
          <w:szCs w:val="28"/>
        </w:rPr>
        <w:t xml:space="preserve">Chapter 6: Conclusion and Future Work</w:t>
      </w:r>
    </w:p>
    <w:p>
      <w:pPr>
        <w:pStyle w:val="Heading2"/>
        <w:spacing w:after="160" w:before="320" w:line="360" w:lineRule="auto"/>
      </w:pPr>
      <w:r>
        <w:rPr>
          <w:rFonts w:ascii="Times New Roman" w:cs="Times New Roman" w:eastAsia="Times New Roman" w:hAnsi="Times New Roman"/>
          <w:b/>
          <w:bCs/>
          <w:sz w:val="24"/>
          <w:szCs w:val="24"/>
        </w:rPr>
        <w:t xml:space="preserve">6.1 Conclusion</w:t>
      </w:r>
    </w:p>
    <w:p>
      <w:pPr>
        <w:spacing w:after="160" w:line="360" w:lineRule="auto"/>
        <w:jc w:val="both"/>
      </w:pPr>
      <w:r>
        <w:rPr>
          <w:rFonts w:ascii="Times New Roman" w:cs="Times New Roman" w:eastAsia="Times New Roman" w:hAnsi="Times New Roman"/>
          <w:sz w:val="24"/>
          <w:szCs w:val="24"/>
        </w:rPr>
        <w:t xml:space="preserve">TerraLedger successfully demonstrates that a decentralized, cryptographically secure, and economically viable land registry framework can be built on public Ethereum blockchain infrastructure. The project addresses the four core structural deficiencies of India's land records system — single points of failure, bureaucratic bottlenecks, document forgery, and lack of public verifiability — through a hybrid Ethereum and IPFS architecture.</w:t>
      </w:r>
    </w:p>
    <w:p>
      <w:pPr>
        <w:spacing w:after="160" w:line="360" w:lineRule="auto"/>
        <w:jc w:val="both"/>
      </w:pPr>
      <w:r>
        <w:rPr>
          <w:rFonts w:ascii="Times New Roman" w:cs="Times New Roman" w:eastAsia="Times New Roman" w:hAnsi="Times New Roman"/>
          <w:sz w:val="24"/>
          <w:szCs w:val="24"/>
        </w:rPr>
        <w:t xml:space="preserve">The key contributions of this project are:</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 production-deployed smart contract implementing a legally-modeled RBAC hierarchy with OpenZeppelin AccessControl, enforced at the EVM level, preventing unauthorized access to all state-changing operations.</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 trustless dual-signature ownership transfer mechanism modeled as a Finite State Machine, preventing both registrar fraud and owner coercion in property transactions.</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 Zero-Trust document verification protocol with a forgery probability of 1 in 2^256, enabling any citizen to independently audit any deed without trusting any authority.</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 dynamic RPC fallback architecture enabling wallet-less public read access, democratizing access to land records for all citizens regardless of technical capability.</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Empirically validated economic viability: property registration at approximately 0.00037 ETH with 98.74% gas efficiency on the Ethereum Sepolia testnet.</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An end-to-end transaction time of 15 to 42 seconds compared to multi-week traditional registry processes.</w:t>
      </w:r>
    </w:p>
    <w:p>
      <w:pPr>
        <w:pStyle w:val="ListParagraph"/>
        <w:numPr>
          <w:ilvl w:val="0"/>
          <w:numId w:val="3"/>
        </w:numPr>
        <w:spacing w:after="80" w:line="360" w:lineRule="auto"/>
      </w:pPr>
      <w:r>
        <w:rPr>
          <w:rFonts w:ascii="Times New Roman" w:cs="Times New Roman" w:eastAsia="Times New Roman" w:hAnsi="Times New Roman"/>
          <w:sz w:val="24"/>
          <w:szCs w:val="24"/>
        </w:rPr>
        <w:t xml:space="preserve">A comparative analysis demonstrating that TerraLedger is the only existing system simultaneously providing all eight key features of a modern land registry.</w:t>
      </w:r>
    </w:p>
    <w:p>
      <w:pPr>
        <w:spacing w:after="160" w:line="360" w:lineRule="auto"/>
        <w:jc w:val="both"/>
      </w:pPr>
      <w:r>
        <w:rPr>
          <w:rFonts w:ascii="Times New Roman" w:cs="Times New Roman" w:eastAsia="Times New Roman" w:hAnsi="Times New Roman"/>
          <w:sz w:val="24"/>
          <w:szCs w:val="24"/>
        </w:rPr>
        <w:t xml:space="preserve">TerraLedger shifts land titles from presumptive (trust-based) to conclusive (cryptographically secured) — a fundamental legal upgrade enabled by a hybrid Ethereum and IPFS architecture. The system is open-source, available at github.com/anilabhbarua/TerraLedger, and is intended as a reference architecture for government and research adoption.</w:t>
      </w:r>
    </w:p>
    <w:p>
      <w:pPr>
        <w:pStyle w:val="Heading2"/>
        <w:spacing w:after="160" w:before="320" w:line="360" w:lineRule="auto"/>
      </w:pPr>
      <w:r>
        <w:rPr>
          <w:rFonts w:ascii="Times New Roman" w:cs="Times New Roman" w:eastAsia="Times New Roman" w:hAnsi="Times New Roman"/>
          <w:b/>
          <w:bCs/>
          <w:sz w:val="24"/>
          <w:szCs w:val="24"/>
        </w:rPr>
        <w:t xml:space="preserve">6.2 Future Work</w:t>
      </w:r>
    </w:p>
    <w:p>
      <w:pPr>
        <w:pStyle w:val="Heading3"/>
        <w:spacing w:after="120" w:before="240" w:line="360" w:lineRule="auto"/>
      </w:pPr>
      <w:r>
        <w:rPr>
          <w:rFonts w:ascii="Times New Roman" w:cs="Times New Roman" w:eastAsia="Times New Roman" w:hAnsi="Times New Roman"/>
          <w:b/>
          <w:bCs/>
          <w:i/>
          <w:iCs/>
          <w:sz w:val="24"/>
          <w:szCs w:val="24"/>
        </w:rPr>
        <w:t xml:space="preserve">6.2.1 IoT GPS Boundary Markers</w:t>
      </w:r>
    </w:p>
    <w:p>
      <w:pPr>
        <w:spacing w:after="160" w:line="360" w:lineRule="auto"/>
        <w:jc w:val="both"/>
      </w:pPr>
      <w:r>
        <w:rPr>
          <w:rFonts w:ascii="Times New Roman" w:cs="Times New Roman" w:eastAsia="Times New Roman" w:hAnsi="Times New Roman"/>
          <w:sz w:val="24"/>
          <w:szCs w:val="24"/>
        </w:rPr>
        <w:t xml:space="preserve">Integrating GPS-enabled IoT devices that feed real-time spatial boundary coordinates directly to the smart contract would link physical ground reality to the immutable ledger, enabling automated detection of illegal encroachment and providing a machine-readable property boundary system that eliminates boundary disputes.</w:t>
      </w:r>
    </w:p>
    <w:p>
      <w:pPr>
        <w:pStyle w:val="Heading3"/>
        <w:spacing w:after="120" w:before="240" w:line="360" w:lineRule="auto"/>
      </w:pPr>
      <w:r>
        <w:rPr>
          <w:rFonts w:ascii="Times New Roman" w:cs="Times New Roman" w:eastAsia="Times New Roman" w:hAnsi="Times New Roman"/>
          <w:b/>
          <w:bCs/>
          <w:i/>
          <w:iCs/>
          <w:sz w:val="24"/>
          <w:szCs w:val="24"/>
        </w:rPr>
        <w:t xml:space="preserve">6.2.2 Zero-Knowledge Proofs</w:t>
      </w:r>
    </w:p>
    <w:p>
      <w:pPr>
        <w:spacing w:after="160" w:line="360" w:lineRule="auto"/>
        <w:jc w:val="both"/>
      </w:pPr>
      <w:r>
        <w:rPr>
          <w:rFonts w:ascii="Times New Roman" w:cs="Times New Roman" w:eastAsia="Times New Roman" w:hAnsi="Times New Roman"/>
          <w:sz w:val="24"/>
          <w:szCs w:val="24"/>
        </w:rPr>
        <w:t xml:space="preserve">Implementing zk-SNARKs would enable citizens to prove ownership or tax compliance without revealing sensitive personal details such as purchase price or identity to the public ledger. This privacy layer is essential for mainstream adoption and compliance with data protection regulations.</w:t>
      </w:r>
    </w:p>
    <w:p>
      <w:pPr>
        <w:pStyle w:val="Heading3"/>
        <w:spacing w:after="120" w:before="240" w:line="360" w:lineRule="auto"/>
      </w:pPr>
      <w:r>
        <w:rPr>
          <w:rFonts w:ascii="Times New Roman" w:cs="Times New Roman" w:eastAsia="Times New Roman" w:hAnsi="Times New Roman"/>
          <w:b/>
          <w:bCs/>
          <w:i/>
          <w:iCs/>
          <w:sz w:val="24"/>
          <w:szCs w:val="24"/>
        </w:rPr>
        <w:t xml:space="preserve">6.2.3 Layer 2 Deployment</w:t>
      </w:r>
    </w:p>
    <w:p>
      <w:pPr>
        <w:spacing w:after="160" w:line="360" w:lineRule="auto"/>
        <w:jc w:val="both"/>
      </w:pPr>
      <w:r>
        <w:rPr>
          <w:rFonts w:ascii="Times New Roman" w:cs="Times New Roman" w:eastAsia="Times New Roman" w:hAnsi="Times New Roman"/>
          <w:sz w:val="24"/>
          <w:szCs w:val="24"/>
        </w:rPr>
        <w:t xml:space="preserve">Migrating TerraLedger to an Ethereum Layer 2 rollup such as Arbitrum or Optimism would reduce gas costs by 10 to 100 times while inheriting Ethereum's security guarantees through cryptographic fraud proofs or validity proofs, making property registration costs sub-cent and accessible to all.</w:t>
      </w:r>
    </w:p>
    <w:p>
      <w:pPr>
        <w:pStyle w:val="Heading3"/>
        <w:spacing w:after="120" w:before="240" w:line="360" w:lineRule="auto"/>
      </w:pPr>
      <w:r>
        <w:rPr>
          <w:rFonts w:ascii="Times New Roman" w:cs="Times New Roman" w:eastAsia="Times New Roman" w:hAnsi="Times New Roman"/>
          <w:b/>
          <w:bCs/>
          <w:i/>
          <w:iCs/>
          <w:sz w:val="24"/>
          <w:szCs w:val="24"/>
        </w:rPr>
        <w:t xml:space="preserve">6.2.4 The Graph Protocol Integration</w:t>
      </w:r>
    </w:p>
    <w:p>
      <w:pPr>
        <w:spacing w:after="160" w:line="360" w:lineRule="auto"/>
        <w:jc w:val="both"/>
      </w:pPr>
      <w:r>
        <w:rPr>
          <w:rFonts w:ascii="Times New Roman" w:cs="Times New Roman" w:eastAsia="Times New Roman" w:hAnsi="Times New Roman"/>
          <w:sz w:val="24"/>
          <w:szCs w:val="24"/>
        </w:rPr>
        <w:t xml:space="preserve">Replacing current O(n) eth_getLogs scanning with a subgraph indexed by The Graph Protocol would enable O(1) GraphQL queries, owner-based filtering, full-text search, and pre-aggregated dashboard statistics — a prerequisite for production-scale deployment with hundreds of thousands of registered properties.</w:t>
      </w:r>
    </w:p>
    <w:p>
      <w:pPr>
        <w:pStyle w:val="Heading3"/>
        <w:spacing w:after="120" w:before="240" w:line="360" w:lineRule="auto"/>
      </w:pPr>
      <w:r>
        <w:rPr>
          <w:rFonts w:ascii="Times New Roman" w:cs="Times New Roman" w:eastAsia="Times New Roman" w:hAnsi="Times New Roman"/>
          <w:b/>
          <w:bCs/>
          <w:i/>
          <w:iCs/>
          <w:sz w:val="24"/>
          <w:szCs w:val="24"/>
        </w:rPr>
        <w:t xml:space="preserve">6.2.5 UUPS Smart Contract Upgradeability</w:t>
      </w:r>
    </w:p>
    <w:p>
      <w:pPr>
        <w:spacing w:after="160" w:line="360" w:lineRule="auto"/>
        <w:jc w:val="both"/>
      </w:pPr>
      <w:r>
        <w:rPr>
          <w:rFonts w:ascii="Times New Roman" w:cs="Times New Roman" w:eastAsia="Times New Roman" w:hAnsi="Times New Roman"/>
          <w:sz w:val="24"/>
          <w:szCs w:val="24"/>
        </w:rPr>
        <w:t xml:space="preserve">Implementing the Universal Upgradeable Proxy Standard (UUPS) pattern would enable bug fixes and feature additions without data migration. All upgrades would be controlled by AUTHORITY_ROLE via a Gnosis Safe multi-signature wallet with a 48-hour TimelockController delay for community audit.</w:t>
      </w:r>
    </w:p>
    <w:p>
      <w:pPr>
        <w:pStyle w:val="Heading3"/>
        <w:spacing w:after="120" w:before="240" w:line="360" w:lineRule="auto"/>
      </w:pPr>
      <w:r>
        <w:rPr>
          <w:rFonts w:ascii="Times New Roman" w:cs="Times New Roman" w:eastAsia="Times New Roman" w:hAnsi="Times New Roman"/>
          <w:b/>
          <w:bCs/>
          <w:i/>
          <w:iCs/>
          <w:sz w:val="24"/>
          <w:szCs w:val="24"/>
        </w:rPr>
        <w:t xml:space="preserve">6.2.6 IT Act 2000 Compliance and Legal Integration</w:t>
      </w:r>
    </w:p>
    <w:p>
      <w:pPr>
        <w:spacing w:after="160" w:line="360" w:lineRule="auto"/>
        <w:jc w:val="both"/>
      </w:pPr>
      <w:r>
        <w:rPr>
          <w:rFonts w:ascii="Times New Roman" w:cs="Times New Roman" w:eastAsia="Times New Roman" w:hAnsi="Times New Roman"/>
          <w:sz w:val="24"/>
          <w:szCs w:val="24"/>
        </w:rPr>
        <w:t xml:space="preserve">Working with legal experts to establish compliance pathways under the Indian IT Act 2000 would grant blockchain-recorded titles full evidentiary weight in Indian courts — the critical legal bridge between technical implementation and real-world adoption. This represents the most impactful direction for future work.</w:t>
      </w:r>
    </w:p>
    <w:p>
      <w:r>
        <w:br w:type="page"/>
      </w:r>
    </w:p>
    <w:p>
      <w:pPr>
        <w:spacing w:after="360" w:before="0"/>
        <w:jc w:val="center"/>
      </w:pPr>
      <w:r>
        <w:rPr>
          <w:rFonts w:ascii="Times New Roman" w:cs="Times New Roman" w:eastAsia="Times New Roman" w:hAnsi="Times New Roman"/>
          <w:b/>
          <w:bCs/>
          <w:sz w:val="28"/>
          <w:szCs w:val="28"/>
          <w:u w:val="single"/>
        </w:rPr>
        <w:t xml:space="preserve">REFERENCES</w:t>
      </w:r>
    </w:p>
    <w:p>
      <w:pPr>
        <w:spacing w:after="160" w:line="360" w:lineRule="auto"/>
        <w:jc w:val="both"/>
      </w:pPr>
      <w:r>
        <w:rPr>
          <w:rFonts w:ascii="Times New Roman" w:cs="Times New Roman" w:eastAsia="Times New Roman" w:hAnsi="Times New Roman"/>
          <w:sz w:val="24"/>
          <w:szCs w:val="24"/>
        </w:rPr>
        <w:t xml:space="preserve">[1] Nakamoto, S. (2008). Bitcoin: A Peer-to-Peer Electronic Cash System. Bitcoin.org.</w:t>
      </w:r>
    </w:p>
    <w:p>
      <w:pPr>
        <w:spacing w:after="160" w:line="360" w:lineRule="auto"/>
        <w:jc w:val="both"/>
      </w:pPr>
      <w:r>
        <w:rPr>
          <w:rFonts w:ascii="Times New Roman" w:cs="Times New Roman" w:eastAsia="Times New Roman" w:hAnsi="Times New Roman"/>
          <w:sz w:val="24"/>
          <w:szCs w:val="24"/>
        </w:rPr>
        <w:t xml:space="preserve">[2] Wood, G. (2014). Ethereum: A Secure Decentralised Generalised Transaction Ledger. Ethereum Project Yellow Paper. https://ethereum.github.io/yellowpaper/paper.pdf</w:t>
      </w:r>
    </w:p>
    <w:p>
      <w:pPr>
        <w:spacing w:after="160" w:line="360" w:lineRule="auto"/>
        <w:jc w:val="both"/>
      </w:pPr>
      <w:r>
        <w:rPr>
          <w:rFonts w:ascii="Times New Roman" w:cs="Times New Roman" w:eastAsia="Times New Roman" w:hAnsi="Times New Roman"/>
          <w:sz w:val="24"/>
          <w:szCs w:val="24"/>
        </w:rPr>
        <w:t xml:space="preserve">[3] Benet, J. (2014). IPFS - Content Addressed, Versioned, P2P File System. arXiv:1407.3561.</w:t>
      </w:r>
    </w:p>
    <w:p>
      <w:pPr>
        <w:spacing w:after="160" w:line="360" w:lineRule="auto"/>
        <w:jc w:val="both"/>
      </w:pPr>
      <w:r>
        <w:rPr>
          <w:rFonts w:ascii="Times New Roman" w:cs="Times New Roman" w:eastAsia="Times New Roman" w:hAnsi="Times New Roman"/>
          <w:sz w:val="24"/>
          <w:szCs w:val="24"/>
        </w:rPr>
        <w:t xml:space="preserve">[4] OpenZeppelin. (2023). OpenZeppelin Contracts: Role-Based Access Control. https://docs.openzeppelin.com/contracts/5.x/access-control</w:t>
      </w:r>
    </w:p>
    <w:p>
      <w:pPr>
        <w:spacing w:after="160" w:line="360" w:lineRule="auto"/>
        <w:jc w:val="both"/>
      </w:pPr>
      <w:r>
        <w:rPr>
          <w:rFonts w:ascii="Times New Roman" w:cs="Times New Roman" w:eastAsia="Times New Roman" w:hAnsi="Times New Roman"/>
          <w:sz w:val="24"/>
          <w:szCs w:val="24"/>
        </w:rPr>
        <w:t xml:space="preserve">[5] Chromaway / Lantmateriet. (2017). The Land Registry in the Blockchain — Testbed. Swedish Land Registry and ChromaWay AB.</w:t>
      </w:r>
    </w:p>
    <w:p>
      <w:pPr>
        <w:spacing w:after="160" w:line="360" w:lineRule="auto"/>
        <w:jc w:val="both"/>
      </w:pPr>
      <w:r>
        <w:rPr>
          <w:rFonts w:ascii="Times New Roman" w:cs="Times New Roman" w:eastAsia="Times New Roman" w:hAnsi="Times New Roman"/>
          <w:sz w:val="24"/>
          <w:szCs w:val="24"/>
        </w:rPr>
        <w:t xml:space="preserve">[6] Kshetri, N., &amp; Voas, J. (2018). Blockchain-Enabled E-Voting. IEEE Software, 35(4), 95-99.</w:t>
      </w:r>
    </w:p>
    <w:p>
      <w:pPr>
        <w:spacing w:after="160" w:line="360" w:lineRule="auto"/>
        <w:jc w:val="both"/>
      </w:pPr>
      <w:r>
        <w:rPr>
          <w:rFonts w:ascii="Times New Roman" w:cs="Times New Roman" w:eastAsia="Times New Roman" w:hAnsi="Times New Roman"/>
          <w:sz w:val="24"/>
          <w:szCs w:val="24"/>
        </w:rPr>
        <w:t xml:space="preserve">[7] Vos, J., Lemmen, C., &amp; Beentjes, B. (2017). Blockchain-Based Land Administration: Feasibility, Risks and Opportunities. World Bank Conference on Land and Poverty.</w:t>
      </w:r>
    </w:p>
    <w:p>
      <w:pPr>
        <w:spacing w:after="160" w:line="360" w:lineRule="auto"/>
        <w:jc w:val="both"/>
      </w:pPr>
      <w:r>
        <w:rPr>
          <w:rFonts w:ascii="Times New Roman" w:cs="Times New Roman" w:eastAsia="Times New Roman" w:hAnsi="Times New Roman"/>
          <w:sz w:val="24"/>
          <w:szCs w:val="24"/>
        </w:rPr>
        <w:t xml:space="preserve">[8] Government of India. (2016). Digital India Land Records Modernization Programme (DILRMP) — Programme Guidelines. Department of Land Resources, Ministry of Rural Development.</w:t>
      </w:r>
    </w:p>
    <w:p>
      <w:pPr>
        <w:spacing w:after="160" w:line="360" w:lineRule="auto"/>
        <w:jc w:val="both"/>
      </w:pPr>
      <w:r>
        <w:rPr>
          <w:rFonts w:ascii="Times New Roman" w:cs="Times New Roman" w:eastAsia="Times New Roman" w:hAnsi="Times New Roman"/>
          <w:sz w:val="24"/>
          <w:szCs w:val="24"/>
        </w:rPr>
        <w:t xml:space="preserve">[9] Thakur, V., &amp; Doja, M. N. (2021). Blockchain-based land registry system for India: A review. Journal of King Saud University — Computer and Information Sciences.</w:t>
      </w:r>
    </w:p>
    <w:p>
      <w:pPr>
        <w:spacing w:after="160" w:line="360" w:lineRule="auto"/>
        <w:jc w:val="both"/>
      </w:pPr>
      <w:r>
        <w:rPr>
          <w:rFonts w:ascii="Times New Roman" w:cs="Times New Roman" w:eastAsia="Times New Roman" w:hAnsi="Times New Roman"/>
          <w:sz w:val="24"/>
          <w:szCs w:val="24"/>
        </w:rPr>
        <w:t xml:space="preserve">[10] Registration Act, 1908, No. 16, Acts of Parliament (India).</w:t>
      </w:r>
    </w:p>
    <w:p>
      <w:pPr>
        <w:spacing w:after="160" w:line="360" w:lineRule="auto"/>
        <w:jc w:val="both"/>
      </w:pPr>
      <w:r>
        <w:rPr>
          <w:rFonts w:ascii="Times New Roman" w:cs="Times New Roman" w:eastAsia="Times New Roman" w:hAnsi="Times New Roman"/>
          <w:sz w:val="24"/>
          <w:szCs w:val="24"/>
        </w:rPr>
        <w:t xml:space="preserve">[11] Transfer of Property Act, 1882, No. 4, Acts of Parliament (India).</w:t>
      </w:r>
    </w:p>
    <w:p>
      <w:pPr>
        <w:spacing w:after="160" w:line="360" w:lineRule="auto"/>
        <w:jc w:val="both"/>
      </w:pPr>
      <w:r>
        <w:rPr>
          <w:rFonts w:ascii="Times New Roman" w:cs="Times New Roman" w:eastAsia="Times New Roman" w:hAnsi="Times New Roman"/>
          <w:sz w:val="24"/>
          <w:szCs w:val="24"/>
        </w:rPr>
        <w:t xml:space="preserve">[12] Antonopoulos, A. M., &amp; Wood, G. (2018). Mastering Ethereum: Building Smart Contracts and DApps. O'Reilly Media.</w:t>
      </w:r>
    </w:p>
    <w:p>
      <w:pPr>
        <w:spacing w:after="160" w:line="360" w:lineRule="auto"/>
        <w:jc w:val="both"/>
      </w:pPr>
      <w:r>
        <w:rPr>
          <w:rFonts w:ascii="Times New Roman" w:cs="Times New Roman" w:eastAsia="Times New Roman" w:hAnsi="Times New Roman"/>
          <w:sz w:val="24"/>
          <w:szCs w:val="24"/>
        </w:rPr>
        <w:t xml:space="preserve">[13] Solidity Documentation. (2023). Solidity v0.8.20 Language Reference. https://docs.soliditylang.org/en/v0.8.20/</w:t>
      </w:r>
    </w:p>
    <w:p>
      <w:pPr>
        <w:spacing w:after="160" w:line="360" w:lineRule="auto"/>
        <w:jc w:val="both"/>
      </w:pPr>
      <w:r>
        <w:rPr>
          <w:rFonts w:ascii="Times New Roman" w:cs="Times New Roman" w:eastAsia="Times New Roman" w:hAnsi="Times New Roman"/>
          <w:sz w:val="24"/>
          <w:szCs w:val="24"/>
        </w:rPr>
        <w:t xml:space="preserve">[14] Hardhat. (2023). Hardhat: Ethereum development environment for professionals. https://hardhat.org/docs</w:t>
      </w:r>
    </w:p>
    <w:p>
      <w:pPr>
        <w:spacing w:after="160" w:line="360" w:lineRule="auto"/>
        <w:jc w:val="both"/>
      </w:pPr>
      <w:r>
        <w:rPr>
          <w:rFonts w:ascii="Times New Roman" w:cs="Times New Roman" w:eastAsia="Times New Roman" w:hAnsi="Times New Roman"/>
          <w:sz w:val="24"/>
          <w:szCs w:val="24"/>
        </w:rPr>
        <w:t xml:space="preserve">[15] The Graph Protocol. (2023). The Graph: Indexing Protocol for Querying Networks like Ethereum. https://thegraph.com/docs/</w:t>
      </w:r>
    </w:p>
    <w:p>
      <w:pPr>
        <w:spacing w:after="160" w:line="360" w:lineRule="auto"/>
        <w:jc w:val="both"/>
      </w:pPr>
      <w:r>
        <w:rPr>
          <w:rFonts w:ascii="Times New Roman" w:cs="Times New Roman" w:eastAsia="Times New Roman" w:hAnsi="Times New Roman"/>
          <w:sz w:val="24"/>
          <w:szCs w:val="24"/>
        </w:rPr>
        <w:t xml:space="preserve">[16] ethers.js. (2023). ethers.js v6 Documentation. https://docs.ethers.org/v6/</w:t>
      </w:r>
    </w:p>
    <w:p>
      <w:pPr>
        <w:spacing w:after="160" w:line="360" w:lineRule="auto"/>
        <w:jc w:val="both"/>
      </w:pPr>
      <w:r>
        <w:rPr>
          <w:rFonts w:ascii="Times New Roman" w:cs="Times New Roman" w:eastAsia="Times New Roman" w:hAnsi="Times New Roman"/>
          <w:sz w:val="24"/>
          <w:szCs w:val="24"/>
        </w:rPr>
        <w:t xml:space="preserve">[17] Pinata. (2023). Pinata IPFS API Documentation. https://docs.pinata.cloud/</w:t>
      </w:r>
    </w:p>
    <w:p>
      <w:pPr>
        <w:spacing w:after="160" w:line="360" w:lineRule="auto"/>
        <w:jc w:val="both"/>
      </w:pPr>
      <w:r>
        <w:rPr>
          <w:rFonts w:ascii="Times New Roman" w:cs="Times New Roman" w:eastAsia="Times New Roman" w:hAnsi="Times New Roman"/>
          <w:sz w:val="24"/>
          <w:szCs w:val="24"/>
        </w:rPr>
        <w:t xml:space="preserve">[18] Cloudflare. (2023). Cloudflare Workers Documentation. https://developers.cloudflare.com/workers/</w:t>
      </w:r>
    </w:p>
    <w:p>
      <w:pPr>
        <w:spacing w:after="160" w:line="360" w:lineRule="auto"/>
        <w:jc w:val="both"/>
      </w:pPr>
      <w:r>
        <w:rPr>
          <w:rFonts w:ascii="Times New Roman" w:cs="Times New Roman" w:eastAsia="Times New Roman" w:hAnsi="Times New Roman"/>
          <w:sz w:val="24"/>
          <w:szCs w:val="24"/>
        </w:rPr>
        <w:t xml:space="preserve">[19] National Institute of Standards and Technology. (2015). FIPS PUB 180-4: Secure Hash Standard (SHS). U.S. Department of Commerce.</w:t>
      </w:r>
    </w:p>
    <w:p>
      <w:pPr>
        <w:spacing w:after="160" w:line="360" w:lineRule="auto"/>
        <w:jc w:val="both"/>
      </w:pPr>
      <w:r>
        <w:rPr>
          <w:rFonts w:ascii="Times New Roman" w:cs="Times New Roman" w:eastAsia="Times New Roman" w:hAnsi="Times New Roman"/>
          <w:sz w:val="24"/>
          <w:szCs w:val="24"/>
        </w:rPr>
        <w:t xml:space="preserve">[20] Propy Inc. (2022). Propy: Real Estate on the Blockchain. https://propy.com/</w:t>
      </w:r>
    </w:p>
    <w:p>
      <w:r>
        <w:br w:type="page"/>
      </w:r>
    </w:p>
    <w:p>
      <w:pPr>
        <w:spacing w:after="360" w:before="0"/>
        <w:jc w:val="center"/>
      </w:pPr>
      <w:r>
        <w:rPr>
          <w:rFonts w:ascii="Times New Roman" w:cs="Times New Roman" w:eastAsia="Times New Roman" w:hAnsi="Times New Roman"/>
          <w:b/>
          <w:bCs/>
          <w:sz w:val="28"/>
          <w:szCs w:val="28"/>
          <w:u w:val="single"/>
        </w:rPr>
        <w:t xml:space="preserve">APPENDIX A: SMART CONTRACT EVENT SPECIFICATION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504"/>
      </w:tblGrid>
      <w:tr>
        <w:trPr>
          <w:tblHeader/>
        </w:trPr>
        <w:tc>
          <w:tcPr>
            <w:tcW w:type="dxa" w:w="25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Event</w:t>
            </w:r>
          </w:p>
        </w:tc>
        <w:tc>
          <w:tcPr>
            <w:tcW w:type="dxa" w:w="25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Indexed Fields</w:t>
            </w:r>
          </w:p>
        </w:tc>
        <w:tc>
          <w:tcPr>
            <w:tcW w:type="dxa" w:w="35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Purpose</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PropertyRegistered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owner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new property minting</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OwnershipTransferred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oldOwner, newOwner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completed ownership change</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TransferRequested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owner, buyer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transfer initiation by owner</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TransferApproved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owner, buyer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registrar approval of transfer</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TransferCancelled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cancelledBy</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transfer abort</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PropertyDocumentUpdated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propertyId, updatedBy</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document correction — full audit trail</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RoleGranted (inherited)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 account, sender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role assignment by Authority</w:t>
            </w:r>
          </w:p>
        </w:tc>
      </w:tr>
      <w:tr>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RoleRevoked (inherited)</w:t>
            </w:r>
          </w:p>
        </w:tc>
        <w:tc>
          <w:tcPr>
            <w:tcW w:type="dxa" w:w="2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 account, sender</w:t>
            </w:r>
          </w:p>
        </w:tc>
        <w:tc>
          <w:tcPr>
            <w:tcW w:type="dxa" w:w="3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Logs role removal by Authority</w:t>
            </w:r>
          </w:p>
        </w:tc>
      </w:tr>
    </w:tbl>
    <w:p>
      <w:pPr>
        <w:spacing w:after="240" w:before="120"/>
        <w:jc w:val="center"/>
      </w:pPr>
      <w:r>
        <w:rPr>
          <w:rFonts w:ascii="Times New Roman" w:cs="Times New Roman" w:eastAsia="Times New Roman" w:hAnsi="Times New Roman"/>
          <w:i/>
          <w:iCs/>
          <w:sz w:val="20"/>
          <w:szCs w:val="20"/>
        </w:rPr>
        <w:t xml:space="preserve">Table A.1: Smart Contract Events</w:t>
      </w:r>
    </w:p>
    <w:p>
      <w:pPr>
        <w:spacing w:line="360" w:lineRule="auto"/>
      </w:pPr>
      <w:r>
        <w:t xml:space="preserve"/>
      </w:r>
    </w:p>
    <w:p>
      <w:pPr>
        <w:pStyle w:val="Heading1"/>
        <w:spacing w:after="240" w:before="480" w:line="360" w:lineRule="auto"/>
      </w:pPr>
      <w:r>
        <w:rPr>
          <w:rFonts w:ascii="Times New Roman" w:cs="Times New Roman" w:eastAsia="Times New Roman" w:hAnsi="Times New Roman"/>
          <w:b/>
          <w:bCs/>
          <w:sz w:val="28"/>
          <w:szCs w:val="28"/>
        </w:rPr>
        <w:t xml:space="preserve">Appendix B: Deployment Parameters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800"/>
        <w:gridCol w:w="4704"/>
      </w:tblGrid>
      <w:tr>
        <w:trPr>
          <w:tblHeader/>
        </w:trPr>
        <w:tc>
          <w:tcPr>
            <w:tcW w:type="dxa" w:w="38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Parameter</w:t>
            </w:r>
          </w:p>
        </w:tc>
        <w:tc>
          <w:tcPr>
            <w:tcW w:type="dxa" w:w="47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Value</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Network</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Ethereum Sepolia Testnet (Chain ID: 11155111)</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Deployment Block</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#10,725,429</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Deployment Timestamp</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2026-04-24T21:38:12 UTC</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First Registration Block</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#10,725,509</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First Registration Timestamp</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2026-04-24T21:56:00 UTC</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Source Code Repository</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github.com/anilabhbarua/TerraLedger</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Frontend Deployment</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Cloudflare Pages (Auto-deploy from GitHub main branch)</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Solidity Version</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0.8.20</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Optimizer Runs</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200</w:t>
            </w:r>
          </w:p>
        </w:tc>
      </w:tr>
      <w:tr>
        <w:tc>
          <w:tcPr>
            <w:tcW w:type="dxa" w:w="3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Avg Transactions per Block</w:t>
            </w:r>
          </w:p>
        </w:tc>
        <w:tc>
          <w:tcPr>
            <w:tcW w:type="dxa" w:w="47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~128 (135 in deploy block, 121 in register block)</w:t>
            </w:r>
          </w:p>
        </w:tc>
      </w:tr>
    </w:tbl>
    <w:p>
      <w:pPr>
        <w:spacing w:after="240" w:before="120"/>
        <w:jc w:val="center"/>
      </w:pPr>
      <w:r>
        <w:rPr>
          <w:rFonts w:ascii="Times New Roman" w:cs="Times New Roman" w:eastAsia="Times New Roman" w:hAnsi="Times New Roman"/>
          <w:i/>
          <w:iCs/>
          <w:sz w:val="20"/>
          <w:szCs w:val="20"/>
        </w:rPr>
        <w:t xml:space="preserve">Table B.1: Deployment Parameters</w:t>
      </w:r>
    </w:p>
    <w:p>
      <w:pPr>
        <w:spacing w:line="360" w:lineRule="auto"/>
      </w:pPr>
      <w:r>
        <w:t xml:space="preserve"/>
      </w:r>
    </w:p>
    <w:p>
      <w:pPr>
        <w:pStyle w:val="Heading1"/>
        <w:spacing w:after="240" w:before="480" w:line="360" w:lineRule="auto"/>
      </w:pPr>
      <w:r>
        <w:rPr>
          <w:rFonts w:ascii="Times New Roman" w:cs="Times New Roman" w:eastAsia="Times New Roman" w:hAnsi="Times New Roman"/>
          <w:b/>
          <w:bCs/>
          <w:sz w:val="28"/>
          <w:szCs w:val="28"/>
        </w:rPr>
        <w:t xml:space="preserve">Appendix C: Abbreviations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000"/>
        <w:gridCol w:w="5504"/>
      </w:tblGrid>
      <w:tr>
        <w:trPr>
          <w:tblHeader/>
        </w:trPr>
        <w:tc>
          <w:tcPr>
            <w:tcW w:type="dxa" w:w="3000"/>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Abbreviation</w:t>
            </w:r>
          </w:p>
        </w:tc>
        <w:tc>
          <w:tcPr>
            <w:tcW w:type="dxa" w:w="5504"/>
            <w:tcBorders>
              <w:top w:val="single" w:color="000000" w:sz="6"/>
              <w:left w:val="single" w:color="000000" w:sz="6"/>
              <w:bottom w:val="single" w:color="000000" w:sz="6"/>
              <w:right w:val="single" w:color="000000" w:sz="6"/>
            </w:tcBorders>
            <w:shd w:fill="D0D0D0"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Full Form</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IPFS</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InterPlanetary File System</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CID</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Content Identifier</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RBAC</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Role-Based Access Control</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EVM</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Ethereum Virtual Machine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FSM</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Finite State Machine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RPC</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Remote Procedure Call</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JWT</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JSON Web Token</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CDN</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Content Delivery Network</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DILRMP</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Digital India Land Records Modernization Programme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UUPS</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Universal Upgradeable Proxy Standard</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ZKP</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Zero-Knowledge Proof</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PoS</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Proof of Stake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DeFi</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Decentralized Finance</w:t>
            </w:r>
          </w:p>
        </w:tc>
      </w:tr>
      <w:tr>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SHA-256</w:t>
            </w:r>
          </w:p>
        </w:tc>
        <w:tc>
          <w:tcPr>
            <w:tcW w:type="dxa" w:w="5504"/>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Secure Hash Algorithm 256-bit</w:t>
            </w:r>
          </w:p>
        </w:tc>
      </w:tr>
    </w:tbl>
    <w:p>
      <w:pPr>
        <w:spacing w:after="240" w:before="120"/>
        <w:jc w:val="center"/>
      </w:pPr>
      <w:r>
        <w:rPr>
          <w:rFonts w:ascii="Times New Roman" w:cs="Times New Roman" w:eastAsia="Times New Roman" w:hAnsi="Times New Roman"/>
          <w:i/>
          <w:iCs/>
          <w:sz w:val="20"/>
          <w:szCs w:val="20"/>
        </w:rPr>
        <w:t xml:space="preserve">Table C.1: List of Abbreviations</w:t>
      </w:r>
    </w:p>
    <w:sectPr>
      <w:headerReference w:type="default" r:id="rId7"/>
      <w:footerReference w:type="default" r:id="rId8"/>
      <w:pgSz w:w="11906" w:h="16838" w:orient="portrait"/>
      <w:pgMar w:top="2101" w:right="1701" w:bottom="21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6" w:space="1"/>
      </w:pBd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6" w:space="1"/>
      </w:pBdr>
      <w:spacing w:after="120"/>
      <w:jc w:val="center"/>
    </w:pPr>
    <w:r>
      <w:rPr>
        <w:rFonts w:ascii="Times New Roman" w:cs="Times New Roman" w:eastAsia="Times New Roman" w:hAnsi="Times New Roman"/>
        <w:i/>
        <w:iCs/>
        <w:sz w:val="18"/>
        <w:szCs w:val="18"/>
      </w:rPr>
      <w:t xml:space="preserve">TerraLedger: A Decentralized Framework for Land Registry Modernization — Gauhati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ind w:left="720" w:hanging="360"/>
      </w:pPr>
    </w:lvl>
  </w:abstractNum>
  <w:abstractNum w:abstractNumId="3" w15:restartNumberingAfterBreak="0">
    <w:multiLevelType w:val="hybridMultilevel"/>
    <w:lvl w:ilvl="0" w15:tentative="1">
      <w:start w:val="1"/>
      <w:numFmt w:val="decimal"/>
      <w:lvlText w:val="%1."/>
      <w:lvlJc w:val="left"/>
      <w:pPr>
        <w:spacing w:line="360" w:lineRule="auto"/>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2026-05-30T22:41:15.888Z</dcterms:created>
  <dcterms:modified xsi:type="dcterms:W3CDTF">2026-05-30T22:41:15.888Z</dcterms:modified>
</cp:coreProperties>
</file>

<file path=docProps/custom.xml><?xml version="1.0" encoding="utf-8"?>
<Properties xmlns="http://schemas.openxmlformats.org/officeDocument/2006/custom-properties" xmlns:vt="http://schemas.openxmlformats.org/officeDocument/2006/docPropsVTypes"/>
</file>