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Business Entity Resolution</w:t>
      </w:r>
    </w:p>
    <w:p>
      <w:pPr>
        <w:pStyle w:val="Heading2"/>
        <w:spacing w:after="240"/>
      </w:pPr>
      <w:r>
        <w:t xml:space="preserve">Optimized Implementation Plan</w:t>
      </w:r>
    </w:p>
    <w:p>
      <w:pPr>
        <w:spacing w:after="120"/>
      </w:pPr>
      <w:r>
        <w:rPr>
          <w:i/>
          <w:iCs/>
        </w:rPr>
        <w:t xml:space="preserve">This plan operationalizes the two-stage entity resolution pipeline (candidate generation → pairwise matching → precision-focused thresholding) from the supplied problem statement, with optimizations for recall, precision, runtime, and reproducibility. All dataset-dependent numbers (candidate counts, thresholds, runtimes) remain experimental until measured.</w:t>
      </w:r>
    </w:p>
    <w:p>
      <w:pPr>
        <w:pStyle w:val="Heading1"/>
        <w:spacing w:after="160" w:before="360"/>
      </w:pPr>
      <w:r>
        <w:t xml:space="preserve">1. Objectives &amp; Success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Maximize macro-averaged entity-level F0.5 on held-out validation, with precision prioritized over recall at the final matching stage.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 ≥99% candidate recall at the blocking stage, subject to measured compute cost, so the matching model is never asked to recover a pair it never saw.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Generalize across countries, including unseen ones (e.g. France) at test time, via a global fallback rather than per-country overfitting.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Produce two exact, validator-passing TSV files and a fully reproducible, MIT/Apache-2.0-licensed, ≤8B-parameter submission with no external lookups or internet augmentation.</w:t>
      </w:r>
    </w:p>
    <w:p>
      <w:pPr>
        <w:pStyle w:val="Heading1"/>
        <w:spacing w:after="160" w:before="360"/>
      </w:pPr>
      <w:r>
        <w:t xml:space="preserve">2. Quick Baseline Check (do this first, before the full pipeline)</w:t>
      </w:r>
    </w:p>
    <w:p>
      <w:pPr>
        <w:spacing w:after="120"/>
      </w:pPr>
      <w:r>
        <w:t xml:space="preserve">Before investing in the full 8-stage pipeline, run a fast, minimal-scope check to see whether the problem is even tractable with simple features, and which model family is worth building on. Target: under a couple of hours, not a full day.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Candidates: skip the full blocking suite for now — use only exact normalized-name match + top-k name character n-gram (TF-IDF cosine) matches. This is enough to get a first read on signal.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Features: keep it to 2-3 — name similarity, address similarity, maybe a country-agreement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Split: still use an entity-level train/validation split (no leakage) — skipping this step would make the comparison meaningless.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 exactly 2 models on the same candidates/features/split: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Logistic Regression — fast, interpretable, tells you if the features carry real signal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LightGBM / XGBoost — tells you how much a stronger model adds on 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both with the official macro F0.5 (precision-weighted). F1 can be logged alongside for intuition, but F0.5 is what decides anything, since the competition rewards precision over recall.</w:t>
      </w:r>
    </w:p>
    <w:p>
      <w:pPr>
        <w:spacing w:after="120"/>
      </w:pPr>
      <w:r>
        <w:rPr>
          <w:b/>
          <w:bCs/>
        </w:rPr>
        <w:t xml:space="preserve">Decision gate: whichever model wins on F0.5 becomes the baseline to beat. Only after this checkpoint should the full normalization suite, complete candidate-generation methods (Section 4.4), full feature table (Section 4.5), and threshold tuning (Section 4.6) be built out — building all of that before knowing if the signal is there risks wasted effort.</w:t>
      </w:r>
    </w:p>
    <w:p>
      <w:pPr>
        <w:pStyle w:val="Heading1"/>
        <w:spacing w:after="160" w:before="360"/>
      </w:pPr>
      <w:r>
        <w:t xml:space="preserve">3. Architecture at a Glance</w:t>
      </w:r>
    </w:p>
    <w:p>
      <w:pPr>
        <w:spacing w:after="120"/>
      </w:pPr>
      <w:r>
        <w:t xml:space="preserve">Source 1 (queries)  →  [Preprocessing]  →  [Candidate Generation: name/address/token blocking, unioned across methods]  →  [Feature Engineering]  →  [Pairwise Classifier]  →  [Per-entity Thresholding &amp; Multi-match Assembly]  →  matching_results.tsv</w:t>
      </w:r>
    </w:p>
    <w:p>
      <w:pPr>
        <w:spacing w:after="120"/>
      </w:pPr>
      <w:r>
        <w:t xml:space="preserve">Every Source 1 record independently retrieves candidates from Source 2 and Source 3; the two candidate sets are deduplicated but never merged into a single ID space, since a match can exist in either, both, or neither source.</w:t>
      </w:r>
    </w:p>
    <w:p>
      <w:pPr>
        <w:pStyle w:val="Heading1"/>
        <w:spacing w:after="160" w:before="360"/>
      </w:pPr>
      <w:r>
        <w:t xml:space="preserve">4. Optimized Day-by-Day Schedule</w:t>
      </w:r>
    </w:p>
    <w:p>
      <w:pPr>
        <w:spacing w:after="120"/>
      </w:pPr>
      <w:r>
        <w:t xml:space="preserve">The original 7-day estimate is restructured so that independent workstreams overlap once the data audit is complete, and a buffer is reserved before packaging. The Quick Baseline Check (Section 2) runs on Day 1, in parallel with the data audit, so the go/no-go signal on feature usefulness arrives before Day 3's full candidate generation build-out.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700"/>
        <w:gridCol w:w="32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Day</w:t>
            </w:r>
          </w:p>
        </w:tc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Primary Track</w:t>
            </w:r>
          </w:p>
        </w:tc>
        <w:tc>
          <w:tcPr>
            <w:tcW w:type="dxa" w:w="3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Parallel Track</w:t>
            </w:r>
          </w:p>
        </w:tc>
        <w:tc>
          <w:tcPr>
            <w:tcW w:type="dxa" w:w="3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load, audit, schema checks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Quick baseline check (Section 2): logistic regression vs. gradient-boosted model on minimal features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Data-quality report; baseline F0.5 recorded for both models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Entity-level CV splits; leakage checks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Conservative normalization module + unit tests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entity split across folds; normalization examples reviewed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Candidate generation (all methods) + recall measurement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interpretable matcher (e.g. logistic regression on 2-3 features)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≥99% candidate recall on validation; baseline F0.5 recorded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engineering (full table)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Hard-negative mining strategy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matrix built for train/validation candidates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 gradient-boosted model; error analysis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Country-holdout stress tests (US→India, India→US)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beats baseline on out-of-fold macro F0.5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Threshold tuning (global + fallback policy)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Submission export + validator dry-runs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Frozen threshold policy; validator PASS on validation split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Packaging, environment pin, clean-room reproduction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Documentation_template.md completed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Submission ZIP builds and reproduces from a clean clone</w:t>
            </w:r>
          </w:p>
        </w:tc>
      </w:tr>
    </w:tbl>
    <w:p>
      <w:pPr>
        <w:spacing w:after="120"/>
      </w:pPr>
      <w:r>
        <w:rPr>
          <w:i/>
          <w:iCs/>
        </w:rPr>
        <w:t xml:space="preserve">Buffer: if dataset size or compute forces re-scoping (e.g. candidate generation too slow), absorb slippage from Day 5's error-analysis time before touching Day 6-7, since threshold freezing and packaging are hard gates for submission validity.</w:t>
      </w:r>
    </w:p>
    <w:p>
      <w:pPr>
        <w:pStyle w:val="Heading1"/>
        <w:spacing w:after="160" w:before="360"/>
      </w:pPr>
      <w:r>
        <w:t xml:space="preserve">5. Stage-by-Stage Plan</w:t>
      </w:r>
    </w:p>
    <w:p>
      <w:pPr>
        <w:pStyle w:val="Heading2"/>
        <w:spacing w:after="120" w:before="260"/>
      </w:pPr>
      <w:r>
        <w:t xml:space="preserve">4.1 Data Loading &amp; Audit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all files as TSV with dtype forced to string for every ID column; never let pandas infer numeric IDs (leading zeros, mixed formats are common in entity IDs).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Parse empty match-list cells explicitly to an empty set/list, not NaN, so downstream code has one representation of "no match".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report: null-rate per field, duplicate-ID counts, match-count histogram per Source 1 entity, and a country-value frequency table treating country as an open set (log unseen labels, do not coerce or drop them).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Parse ground truth into per-entity sets of (source, id) pairs to avoid Source 2/Source 3 ID collisions.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 both raw and normalized text columns side by side; normalization must never overwrite the original.</w:t>
      </w:r>
    </w:p>
    <w:p>
      <w:pPr>
        <w:spacing w:after="120"/>
      </w:pPr>
      <w:r>
        <w:t xml:space="preserve">Deliverable: a validated, cached data-loader module plus a Markdown/HTML data-quality report.</w:t>
      </w:r>
    </w:p>
    <w:p>
      <w:pPr>
        <w:pStyle w:val="Heading2"/>
        <w:spacing w:after="120" w:before="260"/>
      </w:pPr>
      <w:r>
        <w:t xml:space="preserve">4.2 Evaluation Framework (built before any modeling)</w:t>
      </w:r>
    </w:p>
    <w:p>
      <w:pPr>
        <w:spacing w:after="120"/>
      </w:pPr>
      <w:r>
        <w:t xml:space="preserve">Entity-level metric: for each Source 1 entity, </w:t>
      </w:r>
      <w:r>
        <w:rPr>
          <w:rFonts w:ascii="Consolas" w:cs="Consolas" w:eastAsia="Consolas" w:hAnsi="Consolas"/>
        </w:rPr>
        <w:t xml:space="preserve">F0.5 = 1.25·TP / (1.25·TP + 0.25·FN + FP)</w:t>
      </w:r>
      <w:r>
        <w:t xml:space="preserve">, macro-averaged across all entities.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Special cases: both prediction and truth empty → score 1; exactly one empty → score 0. Implement and unit-test these two edge cases explicitly.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Splitting: group by Source 1 entity (its full labeled match set travels together); never split individual candidate pairs across folds, which would leak label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Stress tests: construct US→India and India→US holdouts to probe unseen-country generalization. Treat these as directional signal only — they bound but do not measure France performance directly.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macro F0.5, singleton accuracy (correctly predicting "no match"), false-positive rate, and per-country breakdowns on every run, logged to a single experiment table for comparability.</w:t>
      </w:r>
    </w:p>
    <w:p>
      <w:pPr>
        <w:spacing w:after="120"/>
      </w:pPr>
      <w:r>
        <w:t xml:space="preserve">Deliverable: deterministic CV splitter + tested scorer, exercised by a CI-style smoke test before Stage 5 begins.</w:t>
      </w:r>
    </w:p>
    <w:p>
      <w:pPr>
        <w:pStyle w:val="Heading2"/>
        <w:spacing w:after="120" w:before="260"/>
      </w:pPr>
      <w:r>
        <w:t xml:space="preserve">4.3 Conservative Normalization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Unicode NFKC normalization, case folding, punctuation stripping, whitespace collapsing — applied uniformly, logged with before/after examples for spot-checking.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a legal-suffix-stripped, token-reordered variant (e.g. "Acme GmbH" → "acme") alongside the original, as a separate matching feature — never as a replacement.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both accent-preserving and accent-folded strings; accent folding aids recall in candidate generation but is dropped before precision-sensitive exact-match features.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Address parsing extracts house numbers and postal-code-like tokens with a permissive, format-agnostic regex (digit runs, alphanumeric postal patterns) rather than a single-country parser.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Missing-value sentinel: represent absent name/address fields with an explicit flag feature so two missing addresses cannot register as an exact match downstream.</w:t>
      </w:r>
    </w:p>
    <w:p>
      <w:pPr>
        <w:spacing w:after="120"/>
      </w:pPr>
      <w:r>
        <w:t xml:space="preserve">Deliverable: a pure, side-effect-free preprocessing module with a fixture file of representative before/after cases (accents, suffixes, missing fields, non-Latin scripts).</w:t>
      </w:r>
    </w:p>
    <w:p>
      <w:pPr>
        <w:pStyle w:val="Heading2"/>
        <w:spacing w:after="120" w:before="260"/>
      </w:pPr>
      <w:r>
        <w:t xml:space="preserve">4.4 Candidate Generation (Blocking)</w:t>
      </w:r>
    </w:p>
    <w:p>
      <w:pPr>
        <w:spacing w:after="120"/>
      </w:pPr>
      <w:r>
        <w:t xml:space="preserve">Take the union, per Source 1 record and per target source (2 and 3 separately), of: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Exact normalized-name matches (hash-join, O(n)).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Top-k character n-gram TF-IDF cosine similarity (sklearn TfidfVectorizer with analyzer='char_wb', ngram_range like (2,4); retrieve top-k via sparse matrix multiplication, not a full pairwise loop).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Top-k address similarity, same TF-IDF/cosine approach on normalized address text.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Rare-token overlap: inverse-document-frequency-weighted token blocking so common words ("the", "inc", "co") don't explode block sizes.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Name-token overlap combined with address-number or postal-token agreement, as a distinct higher-precision block.</w:t>
      </w:r>
    </w:p>
    <w:p>
      <w:pPr>
        <w:pStyle w:val="Heading3"/>
        <w:spacing w:after="100" w:before="200"/>
      </w:pPr>
      <w:r>
        <w:t xml:space="preserve">Performance optimizations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materialize the full Cartesian product; compute top-k via sparse matrix top-k (e.g. scipy sparse dot product + argpartition) or an approximate nearest-neighbor index for large 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country agreement only as a soft signal (a feature, and optionally a widened-k trigger) until a hard filter is validated against recall loss on held-out data — an early hard filter risks silently dropping true cross-listed matches.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Deduplicate retrieved candidate IDs per (Source 1 entity, target source) before scoring; log candidates-per-entity distribution to catch degenerate blocks (e.g. a common company name matching thousands).</w:t>
      </w:r>
    </w:p>
    <w:p>
      <w:pPr>
        <w:spacing w:after="120"/>
      </w:pPr>
      <w:r>
        <w:t xml:space="preserve">Metrics to report: candidate recall against ground truth, candidates per Source 1 entity (mean/median/p95), total runtime, and reduction ratio versus the naive all-pairs baseline. Target ≥99% validation candidate recall, revisited against measured runtime/memory cost.</w:t>
      </w:r>
    </w:p>
    <w:p>
      <w:pPr>
        <w:spacing w:after="120"/>
      </w:pPr>
      <w:r>
        <w:t xml:space="preserve">Deliverable: candidate generator module + blocking-quality report with the above metrics.</w:t>
      </w:r>
    </w:p>
    <w:p>
      <w:pPr>
        <w:pStyle w:val="Heading2"/>
        <w:spacing w:after="120" w:before="260"/>
      </w:pPr>
      <w:r>
        <w:t xml:space="preserve">4.5 Pairwise Matching Model</w:t>
      </w:r>
    </w:p>
    <w:p>
      <w:pPr>
        <w:spacing w:after="120"/>
      </w:pPr>
      <w:r>
        <w:t xml:space="preserve">Feature groups (all computed from candidate pairs only, never from full Cartesian pairs):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0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72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Name similarity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Exact-match flag, edit-distance similarity, token overlap, character-n-gram cosine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Address similarity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Token overlap, character cosine, house-number agreement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Contradictions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Conflicting address numbers, differing country labels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quality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Missing-field flags, text length, generic/common-name indicators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Retrieval context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Candidate rank, retrieval similarity score, number of competing candidates for the same entity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Baseline: an interpretable model (logistic regression or shallow tree) on 2-3 strong features, to sanity-check the pipeline and give a comparison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model: gradient-boosted trees (LightGBM/XGBoost — both permissively licensed and trivially under 8B parameters) trained on the full feature set.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Labeling: generated candidate pairs get positive labels from ground truth, negative otherwise. Do not let ground-truth-only pairs leak into validation candidates — validation must use only what the candidate generator actually retrieved.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Hard-negative emphasis: oversample or reweight same-name-different-address and near-miss pairs so the model learns the contradiction features rather than relying on name similarity alone; retain a representative sample of easy negatives and singleton (no true match) entities so the model isn't tuned only on hard cases.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Explicitly exclude entity IDs (and any ID-derived ordinal) as features — they cannot generalize to the test ID space and would only encode memorization.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analysis: after training, inspect false positives grouped by contradiction-feature triggers and false negatives grouped by candidate rank, to target the next iteration.</w:t>
      </w:r>
    </w:p>
    <w:p>
      <w:pPr>
        <w:spacing w:after="120"/>
      </w:pPr>
      <w:r>
        <w:t xml:space="preserve">Deliverable: saved baseline model, saved main model with versioned config/seed, and a written error-analysis note.</w:t>
      </w:r>
    </w:p>
    <w:p>
      <w:pPr>
        <w:pStyle w:val="Heading2"/>
        <w:spacing w:after="120" w:before="260"/>
      </w:pPr>
      <w:r>
        <w:t xml:space="preserve">4.6 Threshold Tuning for Macro F0.5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the acceptance threshold using out-of-fold predictions scored with the official entity-level metric — never a global accuracy/AUC proxy, since the competition metric is asymmetric and entity-averaged.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 empty output sets whenever no candidate clears the threshold; do not force a top-1 assignment, which would violate the problem's many-to-many matching 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Permit multiple accepted matches per entity where several candidates clear the bar.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adopt a stricter threshold for ambiguous/missing-address cases if it is validated to help — inspect false merges specifically involving common names, branch offices, and incomplete addresses before deciding.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countries absent or sparse in training (including France at test time), fall back to a single global threshold calibrated on the full validation set rather than a country-specific one with no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Prioritize precision on singletons — an entity truly having no match is the highest-frequency error mode to protect against.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propagate matches transitively (A~B, B~C ⇒ A~C) unless that assumption is independently validated against ground truth; transitive closure can silently amplify false positives.</w:t>
      </w:r>
    </w:p>
    <w:p>
      <w:pPr>
        <w:spacing w:after="120"/>
      </w:pPr>
      <w:r>
        <w:t xml:space="preserve">Deliverable: a frozen threshold policy document plus a before/after comparison against the baseline model's macro F0.5.</w:t>
      </w:r>
    </w:p>
    <w:p>
      <w:pPr>
        <w:pStyle w:val="Heading2"/>
        <w:spacing w:after="120" w:before="260"/>
      </w:pPr>
      <w:r>
        <w:t xml:space="preserve">4.7 Submission Generation &amp; Validation</w:t>
      </w:r>
    </w:p>
    <w:p>
      <w:pPr>
        <w:spacing w:after="120"/>
      </w:pPr>
      <w:r>
        <w:t xml:space="preserve">Export exactly two files: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00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66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Columns</w:t>
            </w:r>
          </w:p>
        </w:tc>
        <w:tc>
          <w:tcPr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matching_results.tsv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source1_entity_id, matched_entity_ids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Final accepted matches (post-threshold), Source 2/3 IDs, possibly empty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candidate_pairs.tsv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source1_entity_id, candidate_entity_ids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Exact candidate set sent to the final model, post all filtering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Every test Source 1 ID — including France and any other unfamiliar country — appears exactly once in both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Match/candidate lists contain only valid Source 2/3 IDs, with no duplicates.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matches are a strict subset of that entity's candidate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deterministic ordering (e.g. sort IDs) so re-runs are diff-stable.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 the supplied utils/validate_submission.py and record a PASS before considering the stage done.</w:t>
      </w:r>
    </w:p>
    <w:p>
      <w:pPr>
        <w:spacing w:after="120"/>
      </w:pPr>
      <w:r>
        <w:t xml:space="preserve">Deliverable: two validated TSV files plus the recorded validator run log.</w:t>
      </w:r>
    </w:p>
    <w:p>
      <w:pPr>
        <w:pStyle w:val="Heading2"/>
        <w:spacing w:after="120" w:before="260"/>
      </w:pPr>
      <w:r>
        <w:t xml:space="preserve">4.8 Packaging for Reproduction</w:t>
      </w:r>
    </w:p>
    <w:p>
      <w:pPr>
        <w:spacing w:after="120"/>
      </w:pPr>
      <w:r>
        <w:t xml:space="preserve">Repository layout: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code/business_entity_resolution/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loading/          # TSV I/O, schema checks, ground-truth parsing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normalization/    # unicode/case/suffix/address parsing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candidates/       # blocking methods, dedup, recall report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features/         # pairwise feature builders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training/         # baseline + GBT training scripts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evaluation/       # F0.5 scorer, CV splitter, stress tests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├── prediction/       # threshold policy, match assembly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 export/           # TSV writers + validator invocation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config/               # pinned hyperparameters, seeds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artifacts/            # saved models (license/size compliant)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├── Documentation_template.md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└── requirements.txt / environment.yml  (pinned versions)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Pin every dependency version; record the exact end-to-end command sequence from raw data to final TSVs.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Fix and record all random seeds (split, negative sampling, model training).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 the chosen final model is MIT/Apache-2.0 licensed and ≤8B parameters (GBT models trivially satisfy this; flag it explicitly if a neural alternative is ever considered).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the competition constraint of no external business lookups, geocoding services, or internet data augmentation anywhere in the pipeline — audit imports/network calls before packaging.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a clean-room test: fresh clone/venv, run the documented commands, confirm identical (or seed-stable) output files and a validator PASS.</w:t>
      </w:r>
    </w:p>
    <w:p>
      <w:pPr>
        <w:spacing w:after="120"/>
      </w:pPr>
      <w:r>
        <w:t xml:space="preserve">Deliverable: the submission ZIP, plus the clean-room reproduction log.</w:t>
      </w:r>
    </w:p>
    <w:p>
      <w:pPr>
        <w:pStyle w:val="Heading1"/>
        <w:spacing w:after="160" w:before="360"/>
      </w:pPr>
      <w:r>
        <w:t xml:space="preserve">6. Cross-Cutting Optimizations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Vectorize normalization and similarity computations (pandas/numpy/sparse ops) rather than per-row Python loops, given candidate volumes can be large.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Cache expensive artifacts (TF-IDF matrices, candidate sets) keyed by a content hash of the normalization config, so re-running later stages doesn't repeat Stage 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every stage's runtime and memory footprint from Day 1 so Day 3's recall/compute tradeoff decision is based on real numbers, not guesses.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baseline model alive through the whole project as a regression guardrail — any pipeline change should be checked against it, not just against the previous best.</w:t>
      </w:r>
    </w:p>
    <w:p>
      <w:pPr>
        <w:pStyle w:val="Heading1"/>
        <w:spacing w:after="160" w:before="360"/>
      </w:pPr>
      <w:r>
        <w:t xml:space="preserve">7. Risk Register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700"/>
      </w:tblGrid>
      <w:tr>
        <w:trPr>
          <w:tblHeader/>
        </w:trPr>
        <w:tc>
          <w:tcPr>
            <w:tcW w:type="dxa" w:w="43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5700"/>
            <w:shd w:fill="D9E2F3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Candidate recall &lt; 99% for rare/foreign-script names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rare-token and address-number blocks; widen k before adding a hard country filter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Ground-truth leakage into validation candidates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Generate validation candidates the same way as test candidates — never inject ground-truth pairs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Overfitting threshold to seen countries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Freeze a global fallback threshold; validate on US↔India holdouts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Transitive-match false positives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Disable transitive closure unless independently validated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Non-reproducible environment at submission time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Pin all versions; run a clean-room reproduction before packaging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Candidate file drifting from what the model actually saw</w:t>
            </w:r>
          </w:p>
        </w:tc>
        <w:tc>
          <w:tcPr>
            <w:tcW w:type="dxa" w:w="5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Generate candidate_pairs.tsv from the same in-memory object passed to the model, not a re-derived query</w:t>
            </w:r>
          </w:p>
        </w:tc>
      </w:tr>
    </w:tbl>
    <w:p>
      <w:pPr>
        <w:pStyle w:val="Heading1"/>
        <w:spacing w:after="160" w:before="360"/>
      </w:pPr>
      <w:r>
        <w:t xml:space="preserve">8. Deliverables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baseline check: logistic regression vs. gradient-boosted model on minimal features, scored on F0.5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Validated data loader + data-quality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Entity-grouped CV splits + tested F0.5 scorer (with empty-set edge cases)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Conservative normalization module + example fixtures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Candidate generator + blocking-quality report (recall, count, runtime)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+ gradient-boosted matching models, with error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Frozen threshold policy + comparison against baseline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Validated matching_results.tsv and candidate_pairs.tsv (validator PASS)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Reproducible submission ZIP with pinned deps, seeds, and Documentation_template.md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2026-09-25T15:22:00.407Z</dcterms:created>
  <dcterms:modified xsi:type="dcterms:W3CDTF">2026-09-25T15:22:00.415Z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