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ESA Engineering: Progress and Next Steps</w:t>
      </w:r>
    </w:p>
    <w:p>
      <w:pPr>
        <w:pStyle w:val="Subtitle"/>
      </w:pPr>
      <w:r>
        <w:t xml:space="preserve">Wave 1 project update | 14 October 2026</w:t>
      </w:r>
    </w:p>
    <w:p>
      <w:pPr>
        <w:pStyle w:val="Heading1"/>
      </w:pPr>
      <w:r>
        <w:t xml:space="preserve">Technical Status &amp; Demo Execution</w:t>
      </w:r>
    </w:p>
    <w:p>
      <w:pPr>
        <w:pStyle w:val="Normal"/>
      </w:pPr>
      <w:r>
        <w:t xml:space="preserve">The first improvement wave implements the core booking and payment journey in both the Node fallback and Spring Boot API. Verified Node integration tests exercise authenticated booking creation, owner-only reads, protected admin actions, date and time-slot validation, cancellation rules, transfer retries and card payment. The booking, payment and receipt pages and API health route also pass HTTP smoke checks, while anonymous booking requests are rejected. Transfers stay pending until staff check them; retries do not create another payment, and card payment is blocked after a transfer is logged. The clearly labelled card flow is a simulation, stores only the last four digits and does not move money. This provides a repeatable demo of the main logic. Node tests pass 3/3 and JavaScript checks pass; browser end-to-end and Spring JUnit runs remain outstanding because the required tools are not available here.</w:t>
      </w:r>
    </w:p>
    <w:p>
      <w:pPr>
        <w:pStyle w:val="Heading1"/>
      </w:pPr>
      <w:r>
        <w:t xml:space="preserve">Project Roadmap &amp; Problem Solving</w:t>
      </w:r>
    </w:p>
    <w:p>
      <w:pPr>
        <w:pStyle w:val="Normal"/>
      </w:pPr>
      <w:r>
        <w:t xml:space="preserve">Before final submission, run the Spring build and JUnit suite in a Java-enabled environment, fix any failures, and repeat the same ownership and payment-state scenarios against Spring to confirm parity with Node. Then run browser-based end-to-end checks for sign-in, booking, payment, receipts, cancellation and rescheduling, including cross-account and expired-session cases, and close the remaining items recorded in PAGE_AUDIT.md. The immediate blocker is the missing Java toolchain: a source syntax check is useful, but it does not prove that Spring compiles or passes tests. For any live launch, configure unique production token/admin credentials and replace the demo card approval with a real provider integration; the current sandbox flow must not be used to take real card payments.</w:t>
      </w:r>
    </w:p>
    <w:sectPr>
      <w:pgSz w:w="11906" w:h="16838"/>
      <w:pgMar w:top="1320" w:right="1440" w:bottom="1320" w:left="1440" w:header="720" w:footer="720" w:gutter="0"/>
    </w:sectPr>
  </w:body>
</w:document>
</file>

<file path=word/styles.xml><?xml version="1.0" encoding="utf-8"?>
<w:styles xmlns:w="http://schemas.openxmlformats.org/wordprocessingml/2006/main">
  <w:docDefaults>
    <w:rPrDefault>
      <w:rPr>
        <w:rFonts w:ascii="Calibri" w:hAnsi="Calibri"/>
        <w:sz w:val="22"/>
        <w:color w:val="263445"/>
      </w:rPr>
    </w:rPrDefault>
    <w:pPrDefault>
      <w:pPr>
        <w:spacing w:after="140" w:line="276" w:lineRule="auto"/>
      </w:pPr>
    </w:pPrDefault>
  </w:docDefaults>
  <w:style w:type="paragraph" w:default="1" w:styleId="Normal">
    <w:name w:val="Normal"/>
  </w:style>
  <w:style w:type="paragraph" w:styleId="Title">
    <w:name w:val="Title"/>
    <w:basedOn w:val="Normal"/>
    <w:next w:val="Subtitle"/>
    <w:pPr>
      <w:spacing w:before="0" w:after="100"/>
    </w:pPr>
    <w:rPr>
      <w:rFonts w:ascii="Calibri" w:hAnsi="Calibri"/>
      <w:b/>
      <w:color w:val="163A59"/>
      <w:sz w:val="34"/>
    </w:rPr>
  </w:style>
  <w:style w:type="paragraph" w:styleId="Subtitle">
    <w:name w:val="Subtitle"/>
    <w:basedOn w:val="Normal"/>
    <w:pPr>
      <w:spacing w:after="300"/>
    </w:pPr>
    <w:rPr>
      <w:rFonts w:ascii="Calibri" w:hAnsi="Calibri"/>
      <w:color w:val="60758B"/>
      <w:sz w:val="20"/>
    </w:rPr>
  </w:style>
  <w:style w:type="paragraph" w:styleId="Heading1">
    <w:name w:val="heading 1"/>
    <w:basedOn w:val="Normal"/>
    <w:next w:val="Normal"/>
    <w:qFormat/>
    <w:pPr>
      <w:keepNext/>
      <w:spacing w:before="180" w:after="80"/>
    </w:pPr>
    <w:rPr>
      <w:rFonts w:ascii="Calibri" w:hAnsi="Calibri"/>
      <w:b/>
      <w:color w:val="1C5B86"/>
      <w:sz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ESA Engineering: Progress and Next Steps</dc:title>
  <dc:subject>Technical status and project roadmap</dc:subject>
  <dc:creator>ESA Engineering project team</dc:creator>
</cp:coreProperties>
</file>