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c1268433e8797fee2688c3b76a45f948605ecf"/>
    <w:p>
      <w:pPr>
        <w:pStyle w:val="Heading1"/>
      </w:pPr>
      <w:r>
        <w:t xml:space="preserve">OpenClaw — Gemini model wiring (ready-to-paste)</w:t>
      </w:r>
    </w:p>
    <w:p>
      <w:pPr>
        <w:pStyle w:val="FirstParagraph"/>
      </w:pPr>
      <w:r>
        <w:t xml:space="preserve">Apply via the</w:t>
      </w:r>
      <w:r>
        <w:t xml:space="preserve"> </w:t>
      </w:r>
      <w:r>
        <w:rPr>
          <w:bCs/>
          <w:b/>
        </w:rPr>
        <w:t xml:space="preserve">OpenClaw service tile</w:t>
      </w:r>
      <w:r>
        <w:t xml:space="preserve"> </w:t>
      </w:r>
      <w:r>
        <w:t xml:space="preserve">on the SuperComputer Homepage (config/providers), so the</w:t>
      </w:r>
      <w:r>
        <w:t xml:space="preserve"> </w:t>
      </w:r>
      <w:r>
        <w:t xml:space="preserve">gateway reload happens server-side. Do NOT hand-edit the live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 </w:t>
      </w:r>
      <w:r>
        <w:t xml:space="preserve">— a reload</w:t>
      </w:r>
      <w:r>
        <w:t xml:space="preserve"> </w:t>
      </w:r>
      <w:r>
        <w:t xml:space="preserve">is required and gateway restarts are platform-coordinated under your policy.</w:t>
      </w:r>
    </w:p>
    <w:p>
      <w:pPr>
        <w:pStyle w:val="BodyText"/>
      </w:pPr>
      <w:r>
        <w:t xml:space="preserve">Gateway: OpenClaw 2026.9.8 (fc23bc8) on</w:t>
      </w:r>
      <w:r>
        <w:t xml:space="preserve"> </w:t>
      </w:r>
      <w:r>
        <w:rPr>
          <w:rStyle w:val="VerbatimChar"/>
        </w:rPr>
        <w:t xml:space="preserve">vm</w:t>
      </w:r>
      <w:r>
        <w:t xml:space="preserve">. Single provider</w:t>
      </w:r>
      <w:r>
        <w:t xml:space="preserve"> </w:t>
      </w:r>
      <w:r>
        <w:rPr>
          <w:rStyle w:val="VerbatimChar"/>
        </w:rPr>
        <w:t xml:space="preserve">abacus</w:t>
      </w:r>
      <w:r>
        <w:t xml:space="preserve"> </w:t>
      </w:r>
      <w:r>
        <w:t xml:space="preserve">→ https://routellm.abacus.ai/v1</w:t>
      </w:r>
      <w:r>
        <w:t xml:space="preserve"> </w:t>
      </w:r>
      <w:r>
        <w:t xml:space="preserve">(apiKey already set). Gemini is served THROUGH this router — no Google</w:t>
      </w:r>
      <w:r>
        <w:t xml:space="preserve"> </w:t>
      </w:r>
      <w:r>
        <w:rPr>
          <w:rStyle w:val="VerbatimChar"/>
        </w:rPr>
        <w:t xml:space="preserve">AIza…</w:t>
      </w:r>
      <w:r>
        <w:t xml:space="preserve"> </w:t>
      </w:r>
      <w:r>
        <w:t xml:space="preserve">key, no base64, no</w:t>
      </w:r>
      <w:r>
        <w:t xml:space="preserve"> </w:t>
      </w:r>
      <w:r>
        <w:t xml:space="preserve">prefix, no special env var. Reference models as</w:t>
      </w:r>
      <w:r>
        <w:t xml:space="preserve"> </w:t>
      </w:r>
      <w:r>
        <w:rPr>
          <w:rStyle w:val="VerbatimChar"/>
        </w:rPr>
        <w:t xml:space="preserve">abacus/&lt;id&gt;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8861feccb51e7e7fd3d325c445792870bda9e4c"/>
    <w:p>
      <w:pPr>
        <w:pStyle w:val="Heading2"/>
      </w:pPr>
      <w:r>
        <w:t xml:space="preserve">1. Model entry — add inside</w:t>
      </w:r>
      <w:r>
        <w:t xml:space="preserve"> </w:t>
      </w:r>
      <w:r>
        <w:rPr>
          <w:rStyle w:val="VerbatimChar"/>
        </w:rPr>
        <w:t xml:space="preserve">models.providers.abacus.models[]</w:t>
      </w:r>
    </w:p>
    <w:p>
      <w:pPr>
        <w:pStyle w:val="FirstParagraph"/>
      </w:pPr>
      <w:r>
        <w:t xml:space="preserve">(Only add if not already present.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gemini-3-flash-preview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gemini-2.5-pro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gemini-3.1-pro-preview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gemini-3.1-flash-lite</w:t>
      </w:r>
      <w:r>
        <w:t xml:space="preserve"> </w:t>
      </w:r>
      <w:r>
        <w:t xml:space="preserve">are ALREADY in the list.)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"gemini-3.5-flash",</w:t>
      </w:r>
      <w:r>
        <w:br/>
      </w:r>
      <w:r>
        <w:rPr>
          <w:rStyle w:val="VerbatimChar"/>
        </w:rPr>
        <w:t xml:space="preserve">  "name": "Gemini 3.5 Flash",</w:t>
      </w:r>
      <w:r>
        <w:br/>
      </w:r>
      <w:r>
        <w:rPr>
          <w:rStyle w:val="VerbatimChar"/>
        </w:rPr>
        <w:t xml:space="preserve">  "api": "openai-completions",</w:t>
      </w:r>
      <w:r>
        <w:br/>
      </w:r>
      <w:r>
        <w:rPr>
          <w:rStyle w:val="VerbatimChar"/>
        </w:rPr>
        <w:t xml:space="preserve">  "reasoning": true,</w:t>
      </w:r>
      <w:r>
        <w:br/>
      </w:r>
      <w:r>
        <w:rPr>
          <w:rStyle w:val="VerbatimChar"/>
        </w:rPr>
        <w:t xml:space="preserve">  "input": ["text", "image", "audio"],</w:t>
      </w:r>
      <w:r>
        <w:br/>
      </w:r>
      <w:r>
        <w:rPr>
          <w:rStyle w:val="VerbatimChar"/>
        </w:rPr>
        <w:t xml:space="preserve">  "contextWindow": 1000000,</w:t>
      </w:r>
      <w:r>
        <w:br/>
      </w:r>
      <w:r>
        <w:rPr>
          <w:rStyle w:val="VerbatimChar"/>
        </w:rPr>
        <w:t xml:space="preserve">  "maxTokens": 65536,</w:t>
      </w:r>
      <w:r>
        <w:br/>
      </w:r>
      <w:r>
        <w:rPr>
          <w:rStyle w:val="VerbatimChar"/>
        </w:rPr>
        <w:t xml:space="preserve">  "cost": { "input": 0.5, "output": 3, "cacheRead": 0.125, "cacheWrite": 0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Other Gemini IDs available on the router (same</w:t>
      </w:r>
      <w:r>
        <w:t xml:space="preserve"> </w:t>
      </w:r>
      <w:r>
        <w:rPr>
          <w:rStyle w:val="VerbatimChar"/>
        </w:rPr>
        <w:t xml:space="preserve">api: openai-completions</w:t>
      </w:r>
      <w:r>
        <w:t xml:space="preserve">):</w:t>
      </w:r>
      <w:r>
        <w:t xml:space="preserve"> </w:t>
      </w:r>
      <w:r>
        <w:rPr>
          <w:rStyle w:val="VerbatimChar"/>
        </w:rPr>
        <w:t xml:space="preserve">gemini-3.1-pro-preview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gemini-3.1-flash-lite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gemini-3-flash-preview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gemini-2.5-pro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, plus image models</w:t>
      </w:r>
      <w:r>
        <w:t xml:space="preserve"> </w:t>
      </w:r>
      <w:r>
        <w:rPr>
          <w:rStyle w:val="VerbatimChar"/>
        </w:rPr>
        <w:t xml:space="preserve">gemini-2.5-flash-image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gemini-3-pro-image-preview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gemini-3.1-flash-image-preview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router-references-agents.defaults"/>
    <w:p>
      <w:pPr>
        <w:pStyle w:val="Heading2"/>
      </w:pPr>
      <w:r>
        <w:t xml:space="preserve">2. Router references —</w:t>
      </w:r>
      <w:r>
        <w:t xml:space="preserve"> </w:t>
      </w:r>
      <w:r>
        <w:rPr>
          <w:rStyle w:val="VerbatimChar"/>
        </w:rPr>
        <w:t xml:space="preserve">agents.defaults</w:t>
      </w:r>
    </w:p>
    <w:p>
      <w:pPr>
        <w:pStyle w:val="SourceCode"/>
      </w:pPr>
      <w:r>
        <w:rPr>
          <w:rStyle w:val="VerbatimChar"/>
        </w:rPr>
        <w:t xml:space="preserve">"agents": {</w:t>
      </w:r>
      <w:r>
        <w:br/>
      </w:r>
      <w:r>
        <w:rPr>
          <w:rStyle w:val="VerbatimChar"/>
        </w:rPr>
        <w:t xml:space="preserve">  "defaults": {</w:t>
      </w:r>
      <w:r>
        <w:br/>
      </w:r>
      <w:r>
        <w:rPr>
          <w:rStyle w:val="VerbatimChar"/>
        </w:rPr>
        <w:t xml:space="preserve">    "model": {</w:t>
      </w:r>
      <w:r>
        <w:br/>
      </w:r>
      <w:r>
        <w:rPr>
          <w:rStyle w:val="VerbatimChar"/>
        </w:rPr>
        <w:t xml:space="preserve">      "primary": "abacus/m2.7",</w:t>
      </w:r>
      <w:r>
        <w:br/>
      </w:r>
      <w:r>
        <w:rPr>
          <w:rStyle w:val="VerbatimChar"/>
        </w:rPr>
        <w:t xml:space="preserve">      "fallbacks": ["abacus/gemini-3.5-flash"]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"modelPolicy": {</w:t>
      </w:r>
      <w:r>
        <w:br/>
      </w:r>
      <w:r>
        <w:rPr>
          <w:rStyle w:val="VerbatimChar"/>
        </w:rPr>
        <w:t xml:space="preserve">      "allow": [</w:t>
      </w:r>
      <w:r>
        <w:br/>
      </w:r>
      <w:r>
        <w:rPr>
          <w:rStyle w:val="VerbatimChar"/>
        </w:rPr>
        <w:t xml:space="preserve">        "abacus/m2.7",</w:t>
      </w:r>
      <w:r>
        <w:br/>
      </w:r>
      <w:r>
        <w:rPr>
          <w:rStyle w:val="VerbatimChar"/>
        </w:rPr>
        <w:t xml:space="preserve">        "abacus/kimi-k2.6",</w:t>
      </w:r>
      <w:r>
        <w:br/>
      </w:r>
      <w:r>
        <w:rPr>
          <w:rStyle w:val="VerbatimChar"/>
        </w:rPr>
        <w:t xml:space="preserve">        "abacus/gemini-3.5-flash",</w:t>
      </w:r>
      <w:r>
        <w:br/>
      </w:r>
      <w:r>
        <w:rPr>
          <w:rStyle w:val="VerbatimChar"/>
        </w:rPr>
        <w:t xml:space="preserve">        "abacus/gemini-3-flash-preview"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X0753f1c2c4b8cf52a40cf391f30b6c062700c89"/>
    <w:p>
      <w:pPr>
        <w:pStyle w:val="Heading2"/>
      </w:pPr>
      <w:r>
        <w:t xml:space="preserve">3. Non-router (standalone direct-to-Google) — ONLY if you want separate Google billing</w:t>
      </w:r>
    </w:p>
    <w:p>
      <w:pPr>
        <w:pStyle w:val="FirstParagraph"/>
      </w:pPr>
      <w:r>
        <w:t xml:space="preserve">Not needed for your stack. Adds a second key to manage.</w:t>
      </w:r>
    </w:p>
    <w:p>
      <w:pPr>
        <w:pStyle w:val="SourceCode"/>
      </w:pPr>
      <w:r>
        <w:rPr>
          <w:rStyle w:val="VerbatimChar"/>
        </w:rPr>
        <w:t xml:space="preserve">"models": {</w:t>
      </w:r>
      <w:r>
        <w:br/>
      </w:r>
      <w:r>
        <w:rPr>
          <w:rStyle w:val="VerbatimChar"/>
        </w:rPr>
        <w:t xml:space="preserve">  "providers": {</w:t>
      </w:r>
      <w:r>
        <w:br/>
      </w:r>
      <w:r>
        <w:rPr>
          <w:rStyle w:val="VerbatimChar"/>
        </w:rPr>
        <w:t xml:space="preserve">    "google": {</w:t>
      </w:r>
      <w:r>
        <w:br/>
      </w:r>
      <w:r>
        <w:rPr>
          <w:rStyle w:val="VerbatimChar"/>
        </w:rPr>
        <w:t xml:space="preserve">      "baseUrl": "https://generativelanguage.googleapis.com/v1beta/openai",</w:t>
      </w:r>
      <w:r>
        <w:br/>
      </w:r>
      <w:r>
        <w:rPr>
          <w:rStyle w:val="VerbatimChar"/>
        </w:rPr>
        <w:t xml:space="preserve">      "apiKey": "&lt;GOOGLE_API_KEY&gt;",   // fill locally; never commit</w:t>
      </w:r>
      <w:r>
        <w:br/>
      </w:r>
      <w:r>
        <w:rPr>
          <w:rStyle w:val="VerbatimChar"/>
        </w:rPr>
        <w:t xml:space="preserve">      "api": "openai-completions",</w:t>
      </w:r>
      <w:r>
        <w:br/>
      </w:r>
      <w:r>
        <w:rPr>
          <w:rStyle w:val="VerbatimChar"/>
        </w:rPr>
        <w:t xml:space="preserve">      "models":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"id": "gemini-2.5-flash",</w:t>
      </w:r>
      <w:r>
        <w:br/>
      </w:r>
      <w:r>
        <w:rPr>
          <w:rStyle w:val="VerbatimChar"/>
        </w:rPr>
        <w:t xml:space="preserve">          "name": "Gemini 2.5 Flash (direct)",</w:t>
      </w:r>
      <w:r>
        <w:br/>
      </w:r>
      <w:r>
        <w:rPr>
          <w:rStyle w:val="VerbatimChar"/>
        </w:rPr>
        <w:t xml:space="preserve">          "api": "openai-completions",</w:t>
      </w:r>
      <w:r>
        <w:br/>
      </w:r>
      <w:r>
        <w:rPr>
          <w:rStyle w:val="VerbatimChar"/>
        </w:rPr>
        <w:t xml:space="preserve">          "input": ["text", "image", "audio"],</w:t>
      </w:r>
      <w:r>
        <w:br/>
      </w:r>
      <w:r>
        <w:rPr>
          <w:rStyle w:val="VerbatimChar"/>
        </w:rPr>
        <w:t xml:space="preserve">          "contextWindow": 1000000,</w:t>
      </w:r>
      <w:r>
        <w:br/>
      </w:r>
      <w:r>
        <w:rPr>
          <w:rStyle w:val="VerbatimChar"/>
        </w:rPr>
        <w:t xml:space="preserve">          "maxTokens": 65536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Then reference as</w:t>
      </w:r>
      <w:r>
        <w:t xml:space="preserve"> </w:t>
      </w:r>
      <w:r>
        <w:rPr>
          <w:rStyle w:val="VerbatimChar"/>
        </w:rPr>
        <w:t xml:space="preserve">google/gemini-2.5-flash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notes"/>
    <w:p>
      <w:pPr>
        <w:pStyle w:val="Heading2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Current live fallback is already</w:t>
      </w:r>
      <w:r>
        <w:t xml:space="preserve"> </w:t>
      </w:r>
      <w:r>
        <w:rPr>
          <w:rStyle w:val="VerbatimChar"/>
        </w:rPr>
        <w:t xml:space="preserve">abacus/gemini-3.5-flash</w:t>
      </w:r>
      <w:r>
        <w:t xml:space="preserve"> </w:t>
      </w:r>
      <w:r>
        <w:t xml:space="preserve">and it resolves — Gemini is reachable now.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abacus/gpt-5.4</w:t>
      </w:r>
      <w:r>
        <w:t xml:space="preserve"> </w:t>
      </w:r>
      <w:r>
        <w:t xml:space="preserve">does NOT exist under the provider;</w:t>
      </w:r>
      <w:r>
        <w:t xml:space="preserve"> </w:t>
      </w:r>
      <w:r>
        <w:rPr>
          <w:rStyle w:val="VerbatimChar"/>
        </w:rPr>
        <w:t xml:space="preserve">abacus/kimi-k2.6</w:t>
      </w:r>
      <w:r>
        <w:t xml:space="preserve"> </w:t>
      </w:r>
      <w:r>
        <w:t xml:space="preserve">exists but is not wired as the</w:t>
      </w:r>
      <w:r>
        <w:t xml:space="preserve"> </w:t>
      </w:r>
      <w:r>
        <w:t xml:space="preserve">fallback. Reconcile against your provisioning doc.</w:t>
      </w:r>
    </w:p>
    <w:p>
      <w:pPr>
        <w:numPr>
          <w:ilvl w:val="0"/>
          <w:numId w:val="1001"/>
        </w:numPr>
        <w:pStyle w:val="Compact"/>
      </w:pPr>
      <w:r>
        <w:t xml:space="preserve">Update path: on 2026.9.8, stable registry latest is 2026.10.1 — upgrade via the OpenClaw tile.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2026-10-11T21:30:07Z</dcterms:created>
  <dcterms:modified xsi:type="dcterms:W3CDTF">2026-10-11T21:30:07Z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