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TKAXHP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(Dog)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b w:val="1"/>
          <w:color w:val="263238"/>
          <w:sz w:val="20"/>
          <w:szCs w:val="20"/>
        </w:rPr>
      </w:pPr>
      <w:bookmarkStart w:colFirst="0" w:colLast="0" w:name="_ipqe8l72lcev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https://release.animalbiome.com/pet/assessment/report/summary/d9c341c8-940e-415a-ae03-c9d65477c378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 (failed)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348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56091" cy="5866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3845" l="35096" r="36282" t="14384"/>
                    <a:stretch>
                      <a:fillRect/>
                    </a:stretch>
                  </pic:blipFill>
                  <pic:spPr>
                    <a:xfrm>
                      <a:off x="0" y="0"/>
                      <a:ext cx="4856091" cy="586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(two conditions satisfied  ) in the primary group.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5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9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True False True 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 Moderate to severe 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passed.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bookmarkStart w:colFirst="0" w:colLast="0" w:name="_lcf7zff4fe6j" w:id="2"/>
      <w:bookmarkEnd w:id="2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46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bookmarkStart w:colFirst="0" w:colLast="0" w:name="_ay6hpak2djy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bookmarkStart w:colFirst="0" w:colLast="0" w:name="_bhkmdg8vddg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bookmarkStart w:colFirst="0" w:colLast="0" w:name="_ipqe8l72lce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d9c341c8-940e-415a-ae03-c9d65477c37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