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UNH9EC(Dog)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https://release.animalbiome.com/pet/assessment/report/appendix/f45e4f1c-8248-4335-8b79-98370f3109df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67300" cy="43195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77" l="15705" r="214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5308" cy="6824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641" l="34455" r="36378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5395308" cy="682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 two  conditions satisfied  ) in the primary group.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8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True True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appendix/f45e4f1c-8248-4335-8b79-98370f3109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