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i w:val="0"/>
          <w:color w:val="0F2240"/>
          <w:sz w:val="42"/>
        </w:rPr>
        <w:t>INDIAN INSTITUTE OF TECHNOLOGY ROORKEE</w:t>
      </w:r>
    </w:p>
    <w:p>
      <w:pPr>
        <w:spacing w:before="80" w:after="360" w:line="276" w:lineRule="auto"/>
        <w:jc w:val="center"/>
      </w:pPr>
      <w:r>
        <w:rPr>
          <w:rFonts w:ascii="Times New Roman" w:hAnsi="Times New Roman"/>
          <w:b/>
          <w:i w:val="0"/>
          <w:color w:val="1F4E79"/>
          <w:sz w:val="30"/>
        </w:rPr>
        <w:t>Department of Computer Science &amp; Engineering</w:t>
      </w:r>
    </w:p>
    <w:p>
      <w:pPr>
        <w:spacing w:before="120" w:after="120" w:line="276" w:lineRule="auto"/>
        <w:jc w:val="center"/>
      </w:pPr>
      <w:r>
        <w:rPr>
          <w:rFonts w:ascii="Times New Roman" w:hAnsi="Times New Roman"/>
          <w:b/>
          <w:i w:val="0"/>
          <w:color w:val="3C3C3C"/>
          <w:sz w:val="30"/>
        </w:rPr>
        <w:t>Project Report On</w:t>
      </w:r>
    </w:p>
    <w:p>
      <w:pPr>
        <w:spacing w:before="120" w:after="280" w:line="276" w:lineRule="auto"/>
        <w:jc w:val="center"/>
      </w:pPr>
      <w:r>
        <w:rPr>
          <w:rFonts w:ascii="Times New Roman" w:hAnsi="Times New Roman"/>
          <w:b/>
          <w:i w:val="0"/>
          <w:color w:val="0F2240"/>
          <w:sz w:val="40"/>
        </w:rPr>
        <w:t>Heterogeneous Graph Neural Network for Smart HVAC Energy Forecasting, Predictive Maintenance, Customer Churn, and Inventory Optimization</w:t>
      </w:r>
    </w:p>
    <w:p>
      <w:pPr>
        <w:spacing w:before="80" w:after="80" w:line="276" w:lineRule="auto"/>
        <w:jc w:val="center"/>
      </w:pPr>
      <w:r>
        <w:rPr>
          <w:rFonts w:ascii="Times New Roman" w:hAnsi="Times New Roman"/>
          <w:b/>
          <w:i w:val="0"/>
          <w:color w:val="1F4E79"/>
          <w:sz w:val="28"/>
        </w:rPr>
        <w:t>Course: Machine Learning (CSL-505) / Data Mining (CSL-515)</w:t>
      </w:r>
    </w:p>
    <w:p>
      <w:pPr>
        <w:spacing w:before="80" w:after="480" w:line="276" w:lineRule="auto"/>
        <w:jc w:val="center"/>
      </w:pPr>
      <w:r>
        <w:rPr>
          <w:rFonts w:ascii="Times New Roman" w:hAnsi="Times New Roman"/>
          <w:b/>
          <w:i w:val="0"/>
          <w:color w:val="2C3E50"/>
          <w:sz w:val="26"/>
        </w:rPr>
        <w:t>Lifecycle Module Specialization: Part 7 (Model Training) &amp; Part 8 (Model Evaluation and Tuning)</w:t>
      </w:r>
    </w:p>
    <w:p>
      <w:pPr>
        <w:spacing w:before="240" w:after="80" w:line="276" w:lineRule="auto"/>
        <w:jc w:val="center"/>
      </w:pPr>
      <w:r>
        <w:rPr>
          <w:rFonts w:ascii="Times New Roman" w:hAnsi="Times New Roman"/>
          <w:b/>
          <w:i w:val="0"/>
          <w:color w:val="3C3C3C"/>
          <w:sz w:val="24"/>
        </w:rPr>
        <w:t>Submitted By:</w:t>
      </w:r>
    </w:p>
    <w:p>
      <w:pPr>
        <w:spacing w:before="40" w:after="400" w:line="276" w:lineRule="auto"/>
        <w:jc w:val="center"/>
      </w:pPr>
      <w:r>
        <w:rPr>
          <w:rFonts w:ascii="Times New Roman" w:hAnsi="Times New Roman"/>
          <w:b/>
          <w:i w:val="0"/>
          <w:color w:val="0F2240"/>
          <w:sz w:val="26"/>
        </w:rPr>
        <w:t>Animesh Basak (Enrollment No. 26911001)</w:t>
      </w:r>
    </w:p>
    <w:p>
      <w:pPr>
        <w:spacing w:before="240" w:after="80" w:line="276" w:lineRule="auto"/>
        <w:jc w:val="center"/>
      </w:pPr>
      <w:r>
        <w:rPr>
          <w:rFonts w:ascii="Times New Roman" w:hAnsi="Times New Roman"/>
          <w:b/>
          <w:i w:val="0"/>
          <w:color w:val="3C3C3C"/>
          <w:sz w:val="24"/>
        </w:rPr>
        <w:t>Under The Guidance of:</w:t>
      </w:r>
    </w:p>
    <w:p>
      <w:pPr>
        <w:spacing w:before="40" w:after="40" w:line="276" w:lineRule="auto"/>
        <w:jc w:val="center"/>
      </w:pPr>
      <w:r>
        <w:rPr>
          <w:rFonts w:ascii="Times New Roman" w:hAnsi="Times New Roman"/>
          <w:b/>
          <w:i w:val="0"/>
          <w:color w:val="0F2240"/>
          <w:sz w:val="28"/>
        </w:rPr>
        <w:t>Dr. Durga Toshniwal</w:t>
      </w:r>
    </w:p>
    <w:p>
      <w:pPr>
        <w:spacing w:before="40" w:after="600" w:line="276" w:lineRule="auto"/>
        <w:jc w:val="center"/>
      </w:pPr>
      <w:r>
        <w:rPr>
          <w:rFonts w:ascii="Times New Roman" w:hAnsi="Times New Roman"/>
          <w:b w:val="0"/>
          <w:i w:val="0"/>
          <w:color w:val="3C3C3C"/>
          <w:sz w:val="24"/>
        </w:rPr>
        <w:t>Professor, Department of Computer Science &amp; Engineering</w:t>
        <w:br/>
        <w:t>Indian Institute of Technology Roorkee</w:t>
      </w:r>
    </w:p>
    <w:p>
      <w:r>
        <w:br w:type="page"/>
      </w:r>
    </w:p>
    <w:p>
      <w:pPr>
        <w:spacing w:before="200" w:after="240" w:line="276" w:lineRule="auto"/>
        <w:jc w:val="center"/>
      </w:pPr>
      <w:r>
        <w:rPr>
          <w:rFonts w:ascii="Times New Roman" w:hAnsi="Times New Roman"/>
          <w:b/>
          <w:i w:val="0"/>
          <w:color w:val="0F2240"/>
          <w:sz w:val="32"/>
        </w:rPr>
        <w:t>Table of Contents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3120"/>
        <w:gridCol w:w="3120"/>
        <w:gridCol w:w="3120"/>
      </w:tblGrid>
      <w:tr>
        <w:tc>
          <w:tcPr>
            <w:tcW w:type="dxa" w:w="1152"/>
            <w:shd w:fill="1F4E79"/>
            <w:tcMar>
              <w:top w:w="100" w:type="dxa"/>
              <w:bottom w:w="100" w:type="dxa"/>
              <w:left w:w="120" w:type="dxa"/>
              <w:right w:w="120" w:type="dxa"/>
            </w:tcMar>
          </w:tcPr>
          <w:p>
            <w:pPr>
              <w:jc w:val="center"/>
            </w:pPr>
            <w:r>
              <w:rPr>
                <w:rFonts w:ascii="Times New Roman" w:hAnsi="Times New Roman"/>
                <w:b/>
                <w:i w:val="0"/>
                <w:color w:val="FFFFFF"/>
                <w:sz w:val="21"/>
              </w:rPr>
              <w:t>S.No.</w:t>
            </w:r>
          </w:p>
        </w:tc>
        <w:tc>
          <w:tcPr>
            <w:tcW w:type="dxa" w:w="6768"/>
            <w:shd w:fill="1F4E79"/>
            <w:tcMar>
              <w:top w:w="100" w:type="dxa"/>
              <w:bottom w:w="100" w:type="dxa"/>
              <w:left w:w="120" w:type="dxa"/>
              <w:right w:w="120" w:type="dxa"/>
            </w:tcMar>
          </w:tcPr>
          <w:p>
            <w:pPr>
              <w:jc w:val="left"/>
            </w:pPr>
            <w:r>
              <w:rPr>
                <w:rFonts w:ascii="Times New Roman" w:hAnsi="Times New Roman"/>
                <w:b/>
                <w:i w:val="0"/>
                <w:color w:val="FFFFFF"/>
                <w:sz w:val="21"/>
              </w:rPr>
              <w:t>Section / Topic</w:t>
            </w:r>
          </w:p>
        </w:tc>
        <w:tc>
          <w:tcPr>
            <w:tcW w:type="dxa" w:w="1440"/>
            <w:shd w:fill="1F4E79"/>
            <w:tcMar>
              <w:top w:w="100" w:type="dxa"/>
              <w:bottom w:w="100" w:type="dxa"/>
              <w:left w:w="120" w:type="dxa"/>
              <w:right w:w="120" w:type="dxa"/>
            </w:tcMar>
          </w:tcPr>
          <w:p>
            <w:pPr>
              <w:jc w:val="center"/>
            </w:pPr>
            <w:r>
              <w:rPr>
                <w:rFonts w:ascii="Times New Roman" w:hAnsi="Times New Roman"/>
                <w:b/>
                <w:i w:val="0"/>
                <w:color w:val="FFFFFF"/>
                <w:sz w:val="21"/>
              </w:rPr>
              <w:t>Page No.</w:t>
            </w:r>
          </w:p>
        </w:tc>
      </w:tr>
      <w:tr>
        <w:tc>
          <w:tcPr>
            <w:tcW w:type="dxa" w:w="1152"/>
            <w:shd w:fill="FFFFFF"/>
            <w:tcMar>
              <w:top w:w="80" w:type="dxa"/>
              <w:bottom w:w="80" w:type="dxa"/>
              <w:left w:w="100" w:type="dxa"/>
              <w:right w:w="100" w:type="dxa"/>
            </w:tcMar>
          </w:tcPr>
          <w:p>
            <w:pPr>
              <w:jc w:val="center"/>
            </w:pPr>
            <w:r>
              <w:rPr>
                <w:rFonts w:ascii="Times New Roman" w:hAnsi="Times New Roman"/>
                <w:b/>
                <w:i w:val="0"/>
                <w:color w:val="000000"/>
                <w:sz w:val="20"/>
              </w:rPr>
              <w:t>1</w:t>
            </w:r>
          </w:p>
        </w:tc>
        <w:tc>
          <w:tcPr>
            <w:tcW w:type="dxa" w:w="6768"/>
            <w:shd w:fill="FFFFFF"/>
            <w:tcMar>
              <w:top w:w="80" w:type="dxa"/>
              <w:bottom w:w="80" w:type="dxa"/>
              <w:left w:w="100" w:type="dxa"/>
              <w:right w:w="100" w:type="dxa"/>
            </w:tcMar>
          </w:tcPr>
          <w:p>
            <w:pPr>
              <w:jc w:val="left"/>
            </w:pPr>
            <w:r>
              <w:rPr>
                <w:rFonts w:ascii="Times New Roman" w:hAnsi="Times New Roman"/>
                <w:b/>
                <w:i w:val="0"/>
                <w:color w:val="000000"/>
                <w:sz w:val="20"/>
              </w:rPr>
              <w:t>Member's Contribution Table</w:t>
            </w:r>
          </w:p>
        </w:tc>
        <w:tc>
          <w:tcPr>
            <w:tcW w:type="dxa" w:w="1440"/>
            <w:shd w:fill="FFFFFF"/>
            <w:tcMar>
              <w:top w:w="80" w:type="dxa"/>
              <w:bottom w:w="80" w:type="dxa"/>
              <w:left w:w="100" w:type="dxa"/>
              <w:right w:w="100" w:type="dxa"/>
            </w:tcMar>
          </w:tcPr>
          <w:p>
            <w:pPr>
              <w:jc w:val="center"/>
            </w:pPr>
            <w:r>
              <w:rPr>
                <w:rFonts w:ascii="Times New Roman" w:hAnsi="Times New Roman"/>
                <w:b/>
                <w:i w:val="0"/>
                <w:color w:val="000000"/>
                <w:sz w:val="20"/>
              </w:rPr>
              <w:t>2</w:t>
            </w:r>
          </w:p>
        </w:tc>
      </w:tr>
      <w:tr>
        <w:tc>
          <w:tcPr>
            <w:tcW w:type="dxa" w:w="1152"/>
            <w:shd w:fill="F9FAFB"/>
            <w:tcMar>
              <w:top w:w="80" w:type="dxa"/>
              <w:bottom w:w="80" w:type="dxa"/>
              <w:left w:w="100" w:type="dxa"/>
              <w:right w:w="100" w:type="dxa"/>
            </w:tcMar>
          </w:tcPr>
          <w:p>
            <w:pPr>
              <w:jc w:val="center"/>
            </w:pPr>
            <w:r>
              <w:rPr>
                <w:rFonts w:ascii="Times New Roman" w:hAnsi="Times New Roman"/>
                <w:b/>
                <w:i w:val="0"/>
                <w:color w:val="000000"/>
                <w:sz w:val="20"/>
              </w:rPr>
              <w:t>2</w:t>
            </w:r>
          </w:p>
        </w:tc>
        <w:tc>
          <w:tcPr>
            <w:tcW w:type="dxa" w:w="6768"/>
            <w:shd w:fill="F9FAFB"/>
            <w:tcMar>
              <w:top w:w="80" w:type="dxa"/>
              <w:bottom w:w="80" w:type="dxa"/>
              <w:left w:w="100" w:type="dxa"/>
              <w:right w:w="100" w:type="dxa"/>
            </w:tcMar>
          </w:tcPr>
          <w:p>
            <w:pPr>
              <w:jc w:val="left"/>
            </w:pPr>
            <w:r>
              <w:rPr>
                <w:rFonts w:ascii="Times New Roman" w:hAnsi="Times New Roman"/>
                <w:b/>
                <w:i w:val="0"/>
                <w:color w:val="000000"/>
                <w:sz w:val="20"/>
              </w:rPr>
              <w:t>Section 1: Executive Overview &amp; The 10-Stage Machine Learning Lifecycle</w:t>
            </w:r>
          </w:p>
        </w:tc>
        <w:tc>
          <w:tcPr>
            <w:tcW w:type="dxa" w:w="1440"/>
            <w:shd w:fill="F9FAFB"/>
            <w:tcMar>
              <w:top w:w="80" w:type="dxa"/>
              <w:bottom w:w="80" w:type="dxa"/>
              <w:left w:w="100" w:type="dxa"/>
              <w:right w:w="100" w:type="dxa"/>
            </w:tcMar>
          </w:tcPr>
          <w:p>
            <w:pPr>
              <w:jc w:val="center"/>
            </w:pPr>
            <w:r>
              <w:rPr>
                <w:rFonts w:ascii="Times New Roman" w:hAnsi="Times New Roman"/>
                <w:b/>
                <w:i w:val="0"/>
                <w:color w:val="000000"/>
                <w:sz w:val="20"/>
              </w:rPr>
              <w:t>3</w:t>
            </w:r>
          </w:p>
        </w:tc>
      </w:tr>
      <w:tr>
        <w:tc>
          <w:tcPr>
            <w:tcW w:type="dxa" w:w="1152"/>
            <w:shd w:fill="FFFFFF"/>
            <w:tcMar>
              <w:top w:w="80" w:type="dxa"/>
              <w:bottom w:w="80" w:type="dxa"/>
              <w:left w:w="100" w:type="dxa"/>
              <w:right w:w="100" w:type="dxa"/>
            </w:tcMar>
          </w:tcPr>
          <w:p>
            <w:pPr>
              <w:jc w:val="center"/>
            </w:pPr>
            <w:r>
              <w:rPr>
                <w:rFonts w:ascii="Times New Roman" w:hAnsi="Times New Roman"/>
                <w:b/>
                <w:i w:val="0"/>
                <w:color w:val="000000"/>
                <w:sz w:val="20"/>
              </w:rPr>
              <w:t>3</w:t>
            </w:r>
          </w:p>
        </w:tc>
        <w:tc>
          <w:tcPr>
            <w:tcW w:type="dxa" w:w="6768"/>
            <w:shd w:fill="FFFFFF"/>
            <w:tcMar>
              <w:top w:w="80" w:type="dxa"/>
              <w:bottom w:w="80" w:type="dxa"/>
              <w:left w:w="100" w:type="dxa"/>
              <w:right w:w="100" w:type="dxa"/>
            </w:tcMar>
          </w:tcPr>
          <w:p>
            <w:pPr>
              <w:jc w:val="left"/>
            </w:pPr>
            <w:r>
              <w:rPr>
                <w:rFonts w:ascii="Times New Roman" w:hAnsi="Times New Roman"/>
                <w:b/>
                <w:i w:val="0"/>
                <w:color w:val="000000"/>
                <w:sz w:val="20"/>
              </w:rPr>
              <w:t>Section 2: Part 7 — Model Training (GPU Architecture &amp; Multi-Task Formulation)</w:t>
            </w:r>
          </w:p>
        </w:tc>
        <w:tc>
          <w:tcPr>
            <w:tcW w:type="dxa" w:w="1440"/>
            <w:shd w:fill="FFFFFF"/>
            <w:tcMar>
              <w:top w:w="80" w:type="dxa"/>
              <w:bottom w:w="80" w:type="dxa"/>
              <w:left w:w="100" w:type="dxa"/>
              <w:right w:w="100" w:type="dxa"/>
            </w:tcMar>
          </w:tcPr>
          <w:p>
            <w:pPr>
              <w:jc w:val="center"/>
            </w:pPr>
            <w:r>
              <w:rPr>
                <w:rFonts w:ascii="Times New Roman" w:hAnsi="Times New Roman"/>
                <w:b/>
                <w:i w:val="0"/>
                <w:color w:val="000000"/>
                <w:sz w:val="20"/>
              </w:rPr>
              <w:t>5</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3.1</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2.1 Compute Infrastructure &amp; NVIDIA Tesla V100 GPU Setup</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5</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3.2</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2.2 Heterogeneous Graph Topology &amp; Relational Message Passing</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6</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3.3</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2.3 Decoupled Multi-Task Architecture &amp; Prediction Heads</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7</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3.4</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2.4 Pre-Training Optimization Dynamics &amp; Loss Formulation</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8</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3.5</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2.5 Self-Healing Numerical Divergence Protection Algorithm</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9</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3.6</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2.6 120-Epoch Pre-Training Trajectory &amp; Initial Plateau</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10</w:t>
            </w:r>
          </w:p>
        </w:tc>
      </w:tr>
      <w:tr>
        <w:tc>
          <w:tcPr>
            <w:tcW w:type="dxa" w:w="1152"/>
            <w:shd w:fill="F9FAFB"/>
            <w:tcMar>
              <w:top w:w="80" w:type="dxa"/>
              <w:bottom w:w="80" w:type="dxa"/>
              <w:left w:w="100" w:type="dxa"/>
              <w:right w:w="100" w:type="dxa"/>
            </w:tcMar>
          </w:tcPr>
          <w:p>
            <w:pPr>
              <w:jc w:val="center"/>
            </w:pPr>
            <w:r>
              <w:rPr>
                <w:rFonts w:ascii="Times New Roman" w:hAnsi="Times New Roman"/>
                <w:b/>
                <w:i w:val="0"/>
                <w:color w:val="000000"/>
                <w:sz w:val="20"/>
              </w:rPr>
              <w:t>4</w:t>
            </w:r>
          </w:p>
        </w:tc>
        <w:tc>
          <w:tcPr>
            <w:tcW w:type="dxa" w:w="6768"/>
            <w:shd w:fill="F9FAFB"/>
            <w:tcMar>
              <w:top w:w="80" w:type="dxa"/>
              <w:bottom w:w="80" w:type="dxa"/>
              <w:left w:w="100" w:type="dxa"/>
              <w:right w:w="100" w:type="dxa"/>
            </w:tcMar>
          </w:tcPr>
          <w:p>
            <w:pPr>
              <w:jc w:val="left"/>
            </w:pPr>
            <w:r>
              <w:rPr>
                <w:rFonts w:ascii="Times New Roman" w:hAnsi="Times New Roman"/>
                <w:b/>
                <w:i w:val="0"/>
                <w:color w:val="000000"/>
                <w:sz w:val="20"/>
              </w:rPr>
              <w:t>Section 3: Part 8 — Model Evaluation &amp; Fine-Tuning (Audit Bottlenecks &amp; Calibration)</w:t>
            </w:r>
          </w:p>
        </w:tc>
        <w:tc>
          <w:tcPr>
            <w:tcW w:type="dxa" w:w="1440"/>
            <w:shd w:fill="F9FAFB"/>
            <w:tcMar>
              <w:top w:w="80" w:type="dxa"/>
              <w:bottom w:w="80" w:type="dxa"/>
              <w:left w:w="100" w:type="dxa"/>
              <w:right w:w="100" w:type="dxa"/>
            </w:tcMar>
          </w:tcPr>
          <w:p>
            <w:pPr>
              <w:jc w:val="center"/>
            </w:pPr>
            <w:r>
              <w:rPr>
                <w:rFonts w:ascii="Times New Roman" w:hAnsi="Times New Roman"/>
                <w:b/>
                <w:i w:val="0"/>
                <w:color w:val="000000"/>
                <w:sz w:val="20"/>
              </w:rPr>
              <w:t>11</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4.1</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3.1 Post-Training Audit Bottlenecks (The Argos Technical Review)</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11</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4.2</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3.2 Mathematical Formulation of Fine-Tuning Calibrations</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12</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4.3</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3.3 Real Industrial &amp; Transactional Benchmark Datasets Ingested</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14</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4.4</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3.4 Fine-Tuning Execution on Tesla V100 GPU (fine_tune_v100.py)</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16</w:t>
            </w:r>
          </w:p>
        </w:tc>
      </w:tr>
      <w:tr>
        <w:tc>
          <w:tcPr>
            <w:tcW w:type="dxa" w:w="1152"/>
            <w:shd w:fill="FFFFFF"/>
            <w:tcMar>
              <w:top w:w="80" w:type="dxa"/>
              <w:bottom w:w="80" w:type="dxa"/>
              <w:left w:w="100" w:type="dxa"/>
              <w:right w:w="100" w:type="dxa"/>
            </w:tcMar>
          </w:tcPr>
          <w:p>
            <w:pPr>
              <w:jc w:val="center"/>
            </w:pPr>
            <w:r>
              <w:rPr>
                <w:rFonts w:ascii="Times New Roman" w:hAnsi="Times New Roman"/>
                <w:b w:val="0"/>
                <w:i w:val="0"/>
                <w:color w:val="000000"/>
                <w:sz w:val="20"/>
              </w:rPr>
              <w:t>4.5</w:t>
            </w:r>
          </w:p>
        </w:tc>
        <w:tc>
          <w:tcPr>
            <w:tcW w:type="dxa" w:w="6768"/>
            <w:shd w:fill="FFFFFF"/>
            <w:tcMar>
              <w:top w:w="80" w:type="dxa"/>
              <w:bottom w:w="80" w:type="dxa"/>
              <w:left w:w="100" w:type="dxa"/>
              <w:right w:w="100" w:type="dxa"/>
            </w:tcMar>
          </w:tcPr>
          <w:p>
            <w:pPr>
              <w:jc w:val="left"/>
            </w:pPr>
            <w:r>
              <w:rPr>
                <w:rFonts w:ascii="Times New Roman" w:hAnsi="Times New Roman"/>
                <w:b w:val="0"/>
                <w:i w:val="0"/>
                <w:color w:val="000000"/>
                <w:sz w:val="20"/>
              </w:rPr>
              <w:t xml:space="preserve">  3.5 Quantitative Model Evaluation: Before vs. After Calibration Ledger</w:t>
            </w:r>
          </w:p>
        </w:tc>
        <w:tc>
          <w:tcPr>
            <w:tcW w:type="dxa" w:w="1440"/>
            <w:shd w:fill="FFFFFF"/>
            <w:tcMar>
              <w:top w:w="80" w:type="dxa"/>
              <w:bottom w:w="80" w:type="dxa"/>
              <w:left w:w="100" w:type="dxa"/>
              <w:right w:w="100" w:type="dxa"/>
            </w:tcMar>
          </w:tcPr>
          <w:p>
            <w:pPr>
              <w:jc w:val="center"/>
            </w:pPr>
            <w:r>
              <w:rPr>
                <w:rFonts w:ascii="Times New Roman" w:hAnsi="Times New Roman"/>
                <w:b w:val="0"/>
                <w:i w:val="0"/>
                <w:color w:val="000000"/>
                <w:sz w:val="20"/>
              </w:rPr>
              <w:t>17</w:t>
            </w:r>
          </w:p>
        </w:tc>
      </w:tr>
      <w:tr>
        <w:tc>
          <w:tcPr>
            <w:tcW w:type="dxa" w:w="1152"/>
            <w:shd w:fill="F9FAFB"/>
            <w:tcMar>
              <w:top w:w="80" w:type="dxa"/>
              <w:bottom w:w="80" w:type="dxa"/>
              <w:left w:w="100" w:type="dxa"/>
              <w:right w:w="100" w:type="dxa"/>
            </w:tcMar>
          </w:tcPr>
          <w:p>
            <w:pPr>
              <w:jc w:val="center"/>
            </w:pPr>
            <w:r>
              <w:rPr>
                <w:rFonts w:ascii="Times New Roman" w:hAnsi="Times New Roman"/>
                <w:b w:val="0"/>
                <w:i w:val="0"/>
                <w:color w:val="000000"/>
                <w:sz w:val="20"/>
              </w:rPr>
              <w:t>4.6</w:t>
            </w:r>
          </w:p>
        </w:tc>
        <w:tc>
          <w:tcPr>
            <w:tcW w:type="dxa" w:w="6768"/>
            <w:shd w:fill="F9FAFB"/>
            <w:tcMar>
              <w:top w:w="80" w:type="dxa"/>
              <w:bottom w:w="80" w:type="dxa"/>
              <w:left w:w="100" w:type="dxa"/>
              <w:right w:w="100" w:type="dxa"/>
            </w:tcMar>
          </w:tcPr>
          <w:p>
            <w:pPr>
              <w:jc w:val="left"/>
            </w:pPr>
            <w:r>
              <w:rPr>
                <w:rFonts w:ascii="Times New Roman" w:hAnsi="Times New Roman"/>
                <w:b w:val="0"/>
                <w:i w:val="0"/>
                <w:color w:val="000000"/>
                <w:sz w:val="20"/>
              </w:rPr>
              <w:t xml:space="preserve">  3.6 Audited 12-Month Operational Ledger &amp; Financial P&amp;L Reconciliation</w:t>
            </w:r>
          </w:p>
        </w:tc>
        <w:tc>
          <w:tcPr>
            <w:tcW w:type="dxa" w:w="1440"/>
            <w:shd w:fill="F9FAFB"/>
            <w:tcMar>
              <w:top w:w="80" w:type="dxa"/>
              <w:bottom w:w="80" w:type="dxa"/>
              <w:left w:w="100" w:type="dxa"/>
              <w:right w:w="100" w:type="dxa"/>
            </w:tcMar>
          </w:tcPr>
          <w:p>
            <w:pPr>
              <w:jc w:val="center"/>
            </w:pPr>
            <w:r>
              <w:rPr>
                <w:rFonts w:ascii="Times New Roman" w:hAnsi="Times New Roman"/>
                <w:b w:val="0"/>
                <w:i w:val="0"/>
                <w:color w:val="000000"/>
                <w:sz w:val="20"/>
              </w:rPr>
              <w:t>19</w:t>
            </w:r>
          </w:p>
        </w:tc>
      </w:tr>
      <w:tr>
        <w:tc>
          <w:tcPr>
            <w:tcW w:type="dxa" w:w="1152"/>
            <w:shd w:fill="FFFFFF"/>
            <w:tcMar>
              <w:top w:w="80" w:type="dxa"/>
              <w:bottom w:w="80" w:type="dxa"/>
              <w:left w:w="100" w:type="dxa"/>
              <w:right w:w="100" w:type="dxa"/>
            </w:tcMar>
          </w:tcPr>
          <w:p>
            <w:pPr>
              <w:jc w:val="center"/>
            </w:pPr>
            <w:r>
              <w:rPr>
                <w:rFonts w:ascii="Times New Roman" w:hAnsi="Times New Roman"/>
                <w:b/>
                <w:i w:val="0"/>
                <w:color w:val="000000"/>
                <w:sz w:val="20"/>
              </w:rPr>
              <w:t>5</w:t>
            </w:r>
          </w:p>
        </w:tc>
        <w:tc>
          <w:tcPr>
            <w:tcW w:type="dxa" w:w="6768"/>
            <w:shd w:fill="FFFFFF"/>
            <w:tcMar>
              <w:top w:w="80" w:type="dxa"/>
              <w:bottom w:w="80" w:type="dxa"/>
              <w:left w:w="100" w:type="dxa"/>
              <w:right w:w="100" w:type="dxa"/>
            </w:tcMar>
          </w:tcPr>
          <w:p>
            <w:pPr>
              <w:jc w:val="left"/>
            </w:pPr>
            <w:r>
              <w:rPr>
                <w:rFonts w:ascii="Times New Roman" w:hAnsi="Times New Roman"/>
                <w:b/>
                <w:i w:val="0"/>
                <w:color w:val="000000"/>
                <w:sz w:val="20"/>
              </w:rPr>
              <w:t>Section 4: Critical Discussion, Findings, and Future Directions</w:t>
            </w:r>
          </w:p>
        </w:tc>
        <w:tc>
          <w:tcPr>
            <w:tcW w:type="dxa" w:w="1440"/>
            <w:shd w:fill="FFFFFF"/>
            <w:tcMar>
              <w:top w:w="80" w:type="dxa"/>
              <w:bottom w:w="80" w:type="dxa"/>
              <w:left w:w="100" w:type="dxa"/>
              <w:right w:w="100" w:type="dxa"/>
            </w:tcMar>
          </w:tcPr>
          <w:p>
            <w:pPr>
              <w:jc w:val="center"/>
            </w:pPr>
            <w:r>
              <w:rPr>
                <w:rFonts w:ascii="Times New Roman" w:hAnsi="Times New Roman"/>
                <w:b/>
                <w:i w:val="0"/>
                <w:color w:val="000000"/>
                <w:sz w:val="20"/>
              </w:rPr>
              <w:t>21</w:t>
            </w:r>
          </w:p>
        </w:tc>
      </w:tr>
      <w:tr>
        <w:tc>
          <w:tcPr>
            <w:tcW w:type="dxa" w:w="1152"/>
            <w:shd w:fill="F9FAFB"/>
            <w:tcMar>
              <w:top w:w="80" w:type="dxa"/>
              <w:bottom w:w="80" w:type="dxa"/>
              <w:left w:w="100" w:type="dxa"/>
              <w:right w:w="100" w:type="dxa"/>
            </w:tcMar>
          </w:tcPr>
          <w:p>
            <w:pPr>
              <w:jc w:val="center"/>
            </w:pPr>
            <w:r>
              <w:rPr>
                <w:rFonts w:ascii="Times New Roman" w:hAnsi="Times New Roman"/>
                <w:b/>
                <w:i w:val="0"/>
                <w:color w:val="000000"/>
                <w:sz w:val="20"/>
              </w:rPr>
              <w:t>6</w:t>
            </w:r>
          </w:p>
        </w:tc>
        <w:tc>
          <w:tcPr>
            <w:tcW w:type="dxa" w:w="6768"/>
            <w:shd w:fill="F9FAFB"/>
            <w:tcMar>
              <w:top w:w="80" w:type="dxa"/>
              <w:bottom w:w="80" w:type="dxa"/>
              <w:left w:w="100" w:type="dxa"/>
              <w:right w:w="100" w:type="dxa"/>
            </w:tcMar>
          </w:tcPr>
          <w:p>
            <w:pPr>
              <w:jc w:val="left"/>
            </w:pPr>
            <w:r>
              <w:rPr>
                <w:rFonts w:ascii="Times New Roman" w:hAnsi="Times New Roman"/>
                <w:b/>
                <w:i w:val="0"/>
                <w:color w:val="000000"/>
                <w:sz w:val="20"/>
              </w:rPr>
              <w:t>Section 5: Conclusion &amp; Summary of Deliverables</w:t>
            </w:r>
          </w:p>
        </w:tc>
        <w:tc>
          <w:tcPr>
            <w:tcW w:type="dxa" w:w="1440"/>
            <w:shd w:fill="F9FAFB"/>
            <w:tcMar>
              <w:top w:w="80" w:type="dxa"/>
              <w:bottom w:w="80" w:type="dxa"/>
              <w:left w:w="100" w:type="dxa"/>
              <w:right w:w="100" w:type="dxa"/>
            </w:tcMar>
          </w:tcPr>
          <w:p>
            <w:pPr>
              <w:jc w:val="center"/>
            </w:pPr>
            <w:r>
              <w:rPr>
                <w:rFonts w:ascii="Times New Roman" w:hAnsi="Times New Roman"/>
                <w:b/>
                <w:i w:val="0"/>
                <w:color w:val="000000"/>
                <w:sz w:val="20"/>
              </w:rPr>
              <w:t>23</w:t>
            </w:r>
          </w:p>
        </w:tc>
      </w:tr>
      <w:tr>
        <w:tc>
          <w:tcPr>
            <w:tcW w:type="dxa" w:w="1152"/>
            <w:shd w:fill="FFFFFF"/>
            <w:tcMar>
              <w:top w:w="80" w:type="dxa"/>
              <w:bottom w:w="80" w:type="dxa"/>
              <w:left w:w="100" w:type="dxa"/>
              <w:right w:w="100" w:type="dxa"/>
            </w:tcMar>
          </w:tcPr>
          <w:p>
            <w:pPr>
              <w:jc w:val="center"/>
            </w:pPr>
            <w:r>
              <w:rPr>
                <w:rFonts w:ascii="Times New Roman" w:hAnsi="Times New Roman"/>
                <w:b/>
                <w:i w:val="0"/>
                <w:color w:val="000000"/>
                <w:sz w:val="20"/>
              </w:rPr>
              <w:t>7</w:t>
            </w:r>
          </w:p>
        </w:tc>
        <w:tc>
          <w:tcPr>
            <w:tcW w:type="dxa" w:w="6768"/>
            <w:shd w:fill="FFFFFF"/>
            <w:tcMar>
              <w:top w:w="80" w:type="dxa"/>
              <w:bottom w:w="80" w:type="dxa"/>
              <w:left w:w="100" w:type="dxa"/>
              <w:right w:w="100" w:type="dxa"/>
            </w:tcMar>
          </w:tcPr>
          <w:p>
            <w:pPr>
              <w:jc w:val="left"/>
            </w:pPr>
            <w:r>
              <w:rPr>
                <w:rFonts w:ascii="Times New Roman" w:hAnsi="Times New Roman"/>
                <w:b/>
                <w:i w:val="0"/>
                <w:color w:val="000000"/>
                <w:sz w:val="20"/>
              </w:rPr>
              <w:t>Section 6: Academic References &amp; Citations</w:t>
            </w:r>
          </w:p>
        </w:tc>
        <w:tc>
          <w:tcPr>
            <w:tcW w:type="dxa" w:w="1440"/>
            <w:shd w:fill="FFFFFF"/>
            <w:tcMar>
              <w:top w:w="80" w:type="dxa"/>
              <w:bottom w:w="80" w:type="dxa"/>
              <w:left w:w="100" w:type="dxa"/>
              <w:right w:w="100" w:type="dxa"/>
            </w:tcMar>
          </w:tcPr>
          <w:p>
            <w:pPr>
              <w:jc w:val="center"/>
            </w:pPr>
            <w:r>
              <w:rPr>
                <w:rFonts w:ascii="Times New Roman" w:hAnsi="Times New Roman"/>
                <w:b/>
                <w:i w:val="0"/>
                <w:color w:val="000000"/>
                <w:sz w:val="20"/>
              </w:rPr>
              <w:t>24</w:t>
            </w:r>
          </w:p>
        </w:tc>
      </w:tr>
    </w:tbl>
    <w:p>
      <w:pPr>
        <w:spacing w:before="0" w:after="280" w:line="276" w:lineRule="auto"/>
        <w:jc w:val="both"/>
      </w:pPr>
    </w:p>
    <w:p>
      <w:pPr>
        <w:spacing w:before="280" w:after="120" w:line="276" w:lineRule="auto"/>
        <w:jc w:val="left"/>
      </w:pPr>
      <w:r>
        <w:rPr>
          <w:rFonts w:ascii="Times New Roman" w:hAnsi="Times New Roman"/>
          <w:b/>
          <w:i w:val="0"/>
          <w:color w:val="0F2240"/>
          <w:sz w:val="30"/>
        </w:rPr>
        <w:t>Members' Contribution Table</w:t>
      </w:r>
    </w:p>
    <w:p>
      <w:pPr>
        <w:spacing w:before="0" w:after="160" w:line="276" w:lineRule="auto"/>
        <w:jc w:val="both"/>
      </w:pPr>
      <w:r>
        <w:rPr>
          <w:rFonts w:ascii="Times New Roman" w:hAnsi="Times New Roman"/>
          <w:b w:val="0"/>
          <w:i/>
          <w:color w:val="000000"/>
          <w:sz w:val="22"/>
        </w:rPr>
        <w:t>This project synthesizes an end-to-end 10-stage Machine Learning lifecycle. The specific assigned modules and architectural contributions documented in this report focus on Part 7 (Model Training) and Part 8 (Model Evaluation and Tuning), authored and benchmarked by Animesh Basak.</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72"/>
        <w:gridCol w:w="1872"/>
        <w:gridCol w:w="1872"/>
        <w:gridCol w:w="1872"/>
        <w:gridCol w:w="1872"/>
      </w:tblGrid>
      <w:tr>
        <w:tc>
          <w:tcPr>
            <w:tcW w:type="dxa" w:w="864"/>
            <w:shd w:fill="1F4E79"/>
            <w:tcMar>
              <w:top w:w="100" w:type="dxa"/>
              <w:bottom w:w="100" w:type="dxa"/>
              <w:left w:w="100" w:type="dxa"/>
              <w:right w:w="100" w:type="dxa"/>
            </w:tcMar>
          </w:tcPr>
          <w:p>
            <w:pPr>
              <w:jc w:val="center"/>
            </w:pPr>
            <w:r>
              <w:rPr>
                <w:rFonts w:ascii="Times New Roman" w:hAnsi="Times New Roman"/>
                <w:b/>
                <w:i w:val="0"/>
                <w:color w:val="FFFFFF"/>
                <w:sz w:val="20"/>
              </w:rPr>
              <w:t>S NO</w:t>
            </w:r>
          </w:p>
        </w:tc>
        <w:tc>
          <w:tcPr>
            <w:tcW w:type="dxa" w:w="1872"/>
            <w:shd w:fill="1F4E79"/>
            <w:tcMar>
              <w:top w:w="100" w:type="dxa"/>
              <w:bottom w:w="100" w:type="dxa"/>
              <w:left w:w="100" w:type="dxa"/>
              <w:right w:w="100" w:type="dxa"/>
            </w:tcMar>
          </w:tcPr>
          <w:p>
            <w:pPr>
              <w:jc w:val="center"/>
            </w:pPr>
            <w:r>
              <w:rPr>
                <w:rFonts w:ascii="Times New Roman" w:hAnsi="Times New Roman"/>
                <w:b/>
                <w:i w:val="0"/>
                <w:color w:val="FFFFFF"/>
                <w:sz w:val="20"/>
              </w:rPr>
              <w:t>Name</w:t>
            </w:r>
          </w:p>
        </w:tc>
        <w:tc>
          <w:tcPr>
            <w:tcW w:type="dxa" w:w="1584"/>
            <w:shd w:fill="1F4E79"/>
            <w:tcMar>
              <w:top w:w="100" w:type="dxa"/>
              <w:bottom w:w="100" w:type="dxa"/>
              <w:left w:w="100" w:type="dxa"/>
              <w:right w:w="100" w:type="dxa"/>
            </w:tcMar>
          </w:tcPr>
          <w:p>
            <w:pPr>
              <w:jc w:val="center"/>
            </w:pPr>
            <w:r>
              <w:rPr>
                <w:rFonts w:ascii="Times New Roman" w:hAnsi="Times New Roman"/>
                <w:b/>
                <w:i w:val="0"/>
                <w:color w:val="FFFFFF"/>
                <w:sz w:val="20"/>
              </w:rPr>
              <w:t>Enrollment No</w:t>
            </w:r>
          </w:p>
        </w:tc>
        <w:tc>
          <w:tcPr>
            <w:tcW w:type="dxa" w:w="2160"/>
            <w:shd w:fill="1F4E79"/>
            <w:tcMar>
              <w:top w:w="100" w:type="dxa"/>
              <w:bottom w:w="100" w:type="dxa"/>
              <w:left w:w="100" w:type="dxa"/>
              <w:right w:w="100" w:type="dxa"/>
            </w:tcMar>
          </w:tcPr>
          <w:p>
            <w:pPr>
              <w:jc w:val="left"/>
            </w:pPr>
            <w:r>
              <w:rPr>
                <w:rFonts w:ascii="Times New Roman" w:hAnsi="Times New Roman"/>
                <w:b/>
                <w:i w:val="0"/>
                <w:color w:val="FFFFFF"/>
                <w:sz w:val="20"/>
              </w:rPr>
              <w:t>Module / Phase</w:t>
            </w:r>
          </w:p>
        </w:tc>
        <w:tc>
          <w:tcPr>
            <w:tcW w:type="dxa" w:w="2880"/>
            <w:shd w:fill="1F4E79"/>
            <w:tcMar>
              <w:top w:w="100" w:type="dxa"/>
              <w:bottom w:w="100" w:type="dxa"/>
              <w:left w:w="100" w:type="dxa"/>
              <w:right w:w="100" w:type="dxa"/>
            </w:tcMar>
          </w:tcPr>
          <w:p>
            <w:pPr>
              <w:jc w:val="left"/>
            </w:pPr>
            <w:r>
              <w:rPr>
                <w:rFonts w:ascii="Times New Roman" w:hAnsi="Times New Roman"/>
                <w:b/>
                <w:i w:val="0"/>
                <w:color w:val="FFFFFF"/>
                <w:sz w:val="20"/>
              </w:rPr>
              <w:t>Description of Work</w:t>
            </w:r>
          </w:p>
        </w:tc>
      </w:tr>
      <w:tr>
        <w:tc>
          <w:tcPr>
            <w:tcW w:type="dxa" w:w="864"/>
            <w:shd w:fill="F4F6F7"/>
            <w:tcMar>
              <w:top w:w="80" w:type="dxa"/>
              <w:bottom w:w="80" w:type="dxa"/>
              <w:left w:w="90" w:type="dxa"/>
              <w:right w:w="90" w:type="dxa"/>
            </w:tcMar>
          </w:tcPr>
          <w:p>
            <w:pPr>
              <w:jc w:val="center"/>
            </w:pPr>
            <w:r>
              <w:rPr>
                <w:rFonts w:ascii="Times New Roman" w:hAnsi="Times New Roman"/>
                <w:b w:val="0"/>
                <w:i w:val="0"/>
                <w:color w:val="000000"/>
                <w:sz w:val="19"/>
              </w:rPr>
              <w:t>1</w:t>
            </w:r>
          </w:p>
        </w:tc>
        <w:tc>
          <w:tcPr>
            <w:tcW w:type="dxa" w:w="1872"/>
            <w:shd w:fill="F4F6F7"/>
            <w:tcMar>
              <w:top w:w="80" w:type="dxa"/>
              <w:bottom w:w="80" w:type="dxa"/>
              <w:left w:w="90" w:type="dxa"/>
              <w:right w:w="90" w:type="dxa"/>
            </w:tcMar>
          </w:tcPr>
          <w:p>
            <w:pPr>
              <w:jc w:val="center"/>
            </w:pPr>
            <w:r>
              <w:rPr>
                <w:rFonts w:ascii="Times New Roman" w:hAnsi="Times New Roman"/>
                <w:b w:val="0"/>
                <w:i w:val="0"/>
                <w:color w:val="000000"/>
                <w:sz w:val="19"/>
              </w:rPr>
              <w:t>Animesh Basak</w:t>
            </w:r>
          </w:p>
        </w:tc>
        <w:tc>
          <w:tcPr>
            <w:tcW w:type="dxa" w:w="1584"/>
            <w:shd w:fill="F4F6F7"/>
            <w:tcMar>
              <w:top w:w="80" w:type="dxa"/>
              <w:bottom w:w="80" w:type="dxa"/>
              <w:left w:w="90" w:type="dxa"/>
              <w:right w:w="90" w:type="dxa"/>
            </w:tcMar>
          </w:tcPr>
          <w:p>
            <w:pPr>
              <w:jc w:val="center"/>
            </w:pPr>
            <w:r>
              <w:rPr>
                <w:rFonts w:ascii="Times New Roman" w:hAnsi="Times New Roman"/>
                <w:b w:val="0"/>
                <w:i w:val="0"/>
                <w:color w:val="000000"/>
                <w:sz w:val="19"/>
              </w:rPr>
              <w:t>26911001</w:t>
            </w:r>
          </w:p>
        </w:tc>
        <w:tc>
          <w:tcPr>
            <w:tcW w:type="dxa" w:w="2160"/>
            <w:shd w:fill="F4F6F7"/>
            <w:tcMar>
              <w:top w:w="80" w:type="dxa"/>
              <w:bottom w:w="80" w:type="dxa"/>
              <w:left w:w="90" w:type="dxa"/>
              <w:right w:w="90" w:type="dxa"/>
            </w:tcMar>
          </w:tcPr>
          <w:p>
            <w:pPr>
              <w:jc w:val="left"/>
            </w:pPr>
            <w:r>
              <w:rPr>
                <w:rFonts w:ascii="Times New Roman" w:hAnsi="Times New Roman"/>
                <w:b/>
                <w:i w:val="0"/>
                <w:color w:val="000000"/>
                <w:sz w:val="19"/>
              </w:rPr>
              <w:t>Part 7: Model Training</w:t>
            </w:r>
          </w:p>
        </w:tc>
        <w:tc>
          <w:tcPr>
            <w:tcW w:type="dxa" w:w="2880"/>
            <w:shd w:fill="F4F6F7"/>
            <w:tcMar>
              <w:top w:w="80" w:type="dxa"/>
              <w:bottom w:w="80" w:type="dxa"/>
              <w:left w:w="90" w:type="dxa"/>
              <w:right w:w="90" w:type="dxa"/>
            </w:tcMar>
          </w:tcPr>
          <w:p>
            <w:pPr>
              <w:jc w:val="left"/>
            </w:pPr>
            <w:r>
              <w:rPr>
                <w:rFonts w:ascii="Times New Roman" w:hAnsi="Times New Roman"/>
                <w:b w:val="0"/>
                <w:i w:val="0"/>
                <w:color w:val="000000"/>
                <w:sz w:val="19"/>
              </w:rPr>
              <w:t>NVIDIA Tesla V100 GPU compute setup (CUDA 13.0, FP16 AMP); Multi-task Relational Graph Convolutional Network (RGCN) message passing across 4 node types (Location, Device, Resident, Part); self-healing numerical divergence algorithm; 120-epoch pre-training trajectory execution (artifacts/best_hetero_gnn_v100.pt).</w:t>
            </w:r>
          </w:p>
        </w:tc>
      </w:tr>
      <w:tr>
        <w:tc>
          <w:tcPr>
            <w:tcW w:type="dxa" w:w="864"/>
            <w:shd w:fill="F4F6F7"/>
            <w:tcMar>
              <w:top w:w="80" w:type="dxa"/>
              <w:bottom w:w="80" w:type="dxa"/>
              <w:left w:w="90" w:type="dxa"/>
              <w:right w:w="90" w:type="dxa"/>
            </w:tcMar>
          </w:tcPr>
          <w:p>
            <w:pPr>
              <w:jc w:val="center"/>
            </w:pPr>
            <w:r>
              <w:rPr>
                <w:rFonts w:ascii="Times New Roman" w:hAnsi="Times New Roman"/>
                <w:b w:val="0"/>
                <w:i w:val="0"/>
                <w:color w:val="000000"/>
                <w:sz w:val="19"/>
              </w:rPr>
              <w:t>2</w:t>
            </w:r>
          </w:p>
        </w:tc>
        <w:tc>
          <w:tcPr>
            <w:tcW w:type="dxa" w:w="1872"/>
            <w:shd w:fill="F4F6F7"/>
            <w:tcMar>
              <w:top w:w="80" w:type="dxa"/>
              <w:bottom w:w="80" w:type="dxa"/>
              <w:left w:w="90" w:type="dxa"/>
              <w:right w:w="90" w:type="dxa"/>
            </w:tcMar>
          </w:tcPr>
          <w:p>
            <w:pPr>
              <w:jc w:val="center"/>
            </w:pPr>
            <w:r>
              <w:rPr>
                <w:rFonts w:ascii="Times New Roman" w:hAnsi="Times New Roman"/>
                <w:b w:val="0"/>
                <w:i w:val="0"/>
                <w:color w:val="000000"/>
                <w:sz w:val="19"/>
              </w:rPr>
              <w:t>Animesh Basak</w:t>
            </w:r>
          </w:p>
        </w:tc>
        <w:tc>
          <w:tcPr>
            <w:tcW w:type="dxa" w:w="1584"/>
            <w:shd w:fill="F4F6F7"/>
            <w:tcMar>
              <w:top w:w="80" w:type="dxa"/>
              <w:bottom w:w="80" w:type="dxa"/>
              <w:left w:w="90" w:type="dxa"/>
              <w:right w:w="90" w:type="dxa"/>
            </w:tcMar>
          </w:tcPr>
          <w:p>
            <w:pPr>
              <w:jc w:val="center"/>
            </w:pPr>
            <w:r>
              <w:rPr>
                <w:rFonts w:ascii="Times New Roman" w:hAnsi="Times New Roman"/>
                <w:b w:val="0"/>
                <w:i w:val="0"/>
                <w:color w:val="000000"/>
                <w:sz w:val="19"/>
              </w:rPr>
              <w:t>26911001</w:t>
            </w:r>
          </w:p>
        </w:tc>
        <w:tc>
          <w:tcPr>
            <w:tcW w:type="dxa" w:w="2160"/>
            <w:shd w:fill="F4F6F7"/>
            <w:tcMar>
              <w:top w:w="80" w:type="dxa"/>
              <w:bottom w:w="80" w:type="dxa"/>
              <w:left w:w="90" w:type="dxa"/>
              <w:right w:w="90" w:type="dxa"/>
            </w:tcMar>
          </w:tcPr>
          <w:p>
            <w:pPr>
              <w:jc w:val="left"/>
            </w:pPr>
            <w:r>
              <w:rPr>
                <w:rFonts w:ascii="Times New Roman" w:hAnsi="Times New Roman"/>
                <w:b/>
                <w:i w:val="0"/>
                <w:color w:val="000000"/>
                <w:sz w:val="19"/>
              </w:rPr>
              <w:t>Part 8: Model Evaluation &amp; Fine-Tuning</w:t>
            </w:r>
          </w:p>
        </w:tc>
        <w:tc>
          <w:tcPr>
            <w:tcW w:type="dxa" w:w="2880"/>
            <w:shd w:fill="F4F6F7"/>
            <w:tcMar>
              <w:top w:w="80" w:type="dxa"/>
              <w:bottom w:w="80" w:type="dxa"/>
              <w:left w:w="90" w:type="dxa"/>
              <w:right w:w="90" w:type="dxa"/>
            </w:tcMar>
          </w:tcPr>
          <w:p>
            <w:pPr>
              <w:jc w:val="left"/>
            </w:pPr>
            <w:r>
              <w:rPr>
                <w:rFonts w:ascii="Times New Roman" w:hAnsi="Times New Roman"/>
                <w:b w:val="0"/>
                <w:i w:val="0"/>
                <w:color w:val="000000"/>
                <w:sz w:val="19"/>
              </w:rPr>
              <w:t>Diagnosis of 3 critical audit bottlenecks from Argos Technical Review; Kendall homoscedastic uncertainty weighting loss formulation; SmoothL1 Huber loss (beta=4.0); integration of 3 empirical benchmark datasets (UCI AI4I 2020, UCI Online Retail II, Kaggle HVAC Power); 60-epoch V100 fine-tuning execution (17.0s duration, 28.8 MB VRAM); quantitative evaluation ledger (-65.85% loss reduction, +29.1% failure F1, +62.7% churn F1); 12-month audited financial reconciliation (Rs 2.61 Cr Revenue, Rs 34.00 L OPEX, Rs 2.27 Cr Net Profit, 7.764x Cost Efficiency, +22.64% Savings).</w:t>
            </w:r>
          </w:p>
        </w:tc>
      </w:tr>
      <w:tr>
        <w:tc>
          <w:tcPr>
            <w:tcW w:type="dxa" w:w="864"/>
            <w:shd w:fill="FFFFFF"/>
            <w:tcMar>
              <w:top w:w="80" w:type="dxa"/>
              <w:bottom w:w="80" w:type="dxa"/>
              <w:left w:w="90" w:type="dxa"/>
              <w:right w:w="90" w:type="dxa"/>
            </w:tcMar>
          </w:tcPr>
          <w:p>
            <w:pPr>
              <w:jc w:val="center"/>
            </w:pPr>
            <w:r>
              <w:rPr>
                <w:rFonts w:ascii="Times New Roman" w:hAnsi="Times New Roman"/>
                <w:b w:val="0"/>
                <w:i w:val="0"/>
                <w:color w:val="000000"/>
                <w:sz w:val="19"/>
              </w:rPr>
              <w:t>3</w:t>
            </w:r>
          </w:p>
        </w:tc>
        <w:tc>
          <w:tcPr>
            <w:tcW w:type="dxa" w:w="1872"/>
            <w:shd w:fill="FFFFFF"/>
            <w:tcMar>
              <w:top w:w="80" w:type="dxa"/>
              <w:bottom w:w="80" w:type="dxa"/>
              <w:left w:w="90" w:type="dxa"/>
              <w:right w:w="90" w:type="dxa"/>
            </w:tcMar>
          </w:tcPr>
          <w:p>
            <w:pPr>
              <w:jc w:val="center"/>
            </w:pPr>
            <w:r>
              <w:rPr>
                <w:rFonts w:ascii="Times New Roman" w:hAnsi="Times New Roman"/>
                <w:b w:val="0"/>
                <w:i w:val="0"/>
                <w:color w:val="000000"/>
                <w:sz w:val="19"/>
              </w:rPr>
              <w:t>Project Collaborators</w:t>
            </w:r>
          </w:p>
        </w:tc>
        <w:tc>
          <w:tcPr>
            <w:tcW w:type="dxa" w:w="1584"/>
            <w:shd w:fill="FFFFFF"/>
            <w:tcMar>
              <w:top w:w="80" w:type="dxa"/>
              <w:bottom w:w="80" w:type="dxa"/>
              <w:left w:w="90" w:type="dxa"/>
              <w:right w:w="90" w:type="dxa"/>
            </w:tcMar>
          </w:tcPr>
          <w:p>
            <w:pPr>
              <w:jc w:val="center"/>
            </w:pPr>
            <w:r>
              <w:rPr>
                <w:rFonts w:ascii="Times New Roman" w:hAnsi="Times New Roman"/>
                <w:b w:val="0"/>
                <w:i w:val="0"/>
                <w:color w:val="000000"/>
                <w:sz w:val="19"/>
              </w:rPr>
              <w:t>Peer Group</w:t>
            </w:r>
          </w:p>
        </w:tc>
        <w:tc>
          <w:tcPr>
            <w:tcW w:type="dxa" w:w="2160"/>
            <w:shd w:fill="FFFFFF"/>
            <w:tcMar>
              <w:top w:w="80" w:type="dxa"/>
              <w:bottom w:w="80" w:type="dxa"/>
              <w:left w:w="90" w:type="dxa"/>
              <w:right w:w="90" w:type="dxa"/>
            </w:tcMar>
          </w:tcPr>
          <w:p>
            <w:pPr>
              <w:jc w:val="left"/>
            </w:pPr>
            <w:r>
              <w:rPr>
                <w:rFonts w:ascii="Times New Roman" w:hAnsi="Times New Roman"/>
                <w:b w:val="0"/>
                <w:i w:val="0"/>
                <w:color w:val="000000"/>
                <w:sz w:val="19"/>
              </w:rPr>
              <w:t>Parts 1-6 &amp; 9-10: Upstream &amp; Downstream Lifecycle</w:t>
            </w:r>
          </w:p>
        </w:tc>
        <w:tc>
          <w:tcPr>
            <w:tcW w:type="dxa" w:w="2880"/>
            <w:shd w:fill="FFFFFF"/>
            <w:tcMar>
              <w:top w:w="80" w:type="dxa"/>
              <w:bottom w:w="80" w:type="dxa"/>
              <w:left w:w="90" w:type="dxa"/>
              <w:right w:w="90" w:type="dxa"/>
            </w:tcMar>
          </w:tcPr>
          <w:p>
            <w:pPr>
              <w:jc w:val="left"/>
            </w:pPr>
            <w:r>
              <w:rPr>
                <w:rFonts w:ascii="Times New Roman" w:hAnsi="Times New Roman"/>
                <w:b w:val="0"/>
                <w:i w:val="0"/>
                <w:color w:val="000000"/>
                <w:sz w:val="19"/>
              </w:rPr>
              <w:t>Part 1 (Problem Definition &amp; Multi-Pillar Formulation), Part 2 (Heterogeneous Data Collection), Part 3 (Data Cleaning &amp; Preprocessing), Part 4 (Exploratory Data Analysis across Climate Regimes), Part 5 (Feature Engineering &amp; Selection), Part 6 (Model Selection &amp; GNN Justification), Part 9 (Inductive Streamlit Argos Dashboard Deployment), Part 10 (Continuous Drift Monitoring &amp; Maintenance).</w:t>
            </w:r>
          </w:p>
        </w:tc>
      </w:tr>
    </w:tbl>
    <w:p>
      <w:r>
        <w:br w:type="page"/>
      </w:r>
    </w:p>
    <w:p>
      <w:pPr>
        <w:keepNext/>
        <w:spacing w:before="320" w:after="120"/>
        <w:jc w:val="left"/>
      </w:pPr>
      <w:r>
        <w:rPr>
          <w:rFonts w:ascii="Times New Roman" w:hAnsi="Times New Roman"/>
          <w:b/>
          <w:i w:val="0"/>
          <w:color w:val="0F2240"/>
          <w:sz w:val="30"/>
        </w:rPr>
        <w:t>1. Executive Overview &amp; The 10-Stage Machine Learning Lifecycle</w:t>
      </w:r>
    </w:p>
    <w:p>
      <w:pPr>
        <w:spacing w:before="0" w:after="120" w:line="276" w:lineRule="auto"/>
        <w:jc w:val="both"/>
      </w:pPr>
      <w:r>
        <w:rPr>
          <w:rFonts w:ascii="Times New Roman" w:hAnsi="Times New Roman"/>
          <w:b w:val="0"/>
          <w:i w:val="0"/>
          <w:color w:val="000000"/>
          <w:sz w:val="24"/>
        </w:rPr>
        <w:t>Heating, Ventilation, and Air Conditioning (HVAC) systems constitute over 40% of primary electrical power consumption in modern residential and commercial infrastructures. Historically, HVAC control systems, maintenance scheduling, tenant retention workflows, and spare parts supply chains have operated in strict operational silos. Building engineers rely on localized physical thermodynamic approximations (such as DOE-2 or EnergyPlus single-zone simulation equations) to forecast thermal cooling demand. Separately, equipment maintenance teams implement rigid calendar-based preventative inspections, customer relationship management (CRM) systems track user engagement in isolation, and procurement officers maintain inventory buffers via heuristic minimum-order quantity (EOQ) rules.</w:t>
      </w:r>
    </w:p>
    <w:p>
      <w:pPr>
        <w:spacing w:before="0" w:after="120" w:line="276" w:lineRule="auto"/>
        <w:jc w:val="both"/>
      </w:pPr>
      <w:r>
        <w:rPr>
          <w:rFonts w:ascii="Times New Roman" w:hAnsi="Times New Roman"/>
          <w:b w:val="0"/>
          <w:i w:val="0"/>
          <w:color w:val="000000"/>
          <w:sz w:val="24"/>
        </w:rPr>
        <w:t>This traditional fragmented approach suffers from severe structural blind spots. Extreme weather anomalies—such as severe 44 deg C summer heatwaves in urban micro-climates or high-humidity 92% monsoon condensation regimes—induce non-linear mechanical stress on compressors and inverter electronics. This triggers correlated multi-device breakdowns, sudden spikes in local parts inventory depletion, and resident dissatisfaction that cascades into subscription churn. Standard tabular machine learning models (e.g., Random Forests, XGBoost) and sequential architectures (e.g., LSTMs, Transformers) treat each building, device, tenant, and spare part as independent and identically distributed (i.i.d.) observations, failing to capture the physical, spatial, and relational topology connecting these entities.</w:t>
      </w:r>
    </w:p>
    <w:p>
      <w:pPr>
        <w:spacing w:before="0" w:after="120" w:line="276" w:lineRule="auto"/>
        <w:jc w:val="both"/>
      </w:pPr>
      <w:r>
        <w:rPr>
          <w:rFonts w:ascii="Times New Roman" w:hAnsi="Times New Roman"/>
          <w:b w:val="0"/>
          <w:i w:val="0"/>
          <w:color w:val="000000"/>
          <w:sz w:val="24"/>
        </w:rPr>
        <w:t>To overcome these foundational limitations, this project designs and operationalizes an inductive Multi-Task Heterogeneous Graph Neural Network (Hetero-GNN). By mapping entities into a unified graph topology G = (V, E, Tv, Te), the system concurrently models four mission-critical operational pillars:</w:t>
      </w:r>
    </w:p>
    <w:p>
      <w:pPr>
        <w:spacing w:before="0" w:after="200" w:line="276" w:lineRule="auto"/>
        <w:jc w:val="both"/>
      </w:pPr>
      <w:r>
        <w:rPr>
          <w:rFonts w:ascii="Times New Roman" w:hAnsi="Times New Roman"/>
          <w:b w:val="0"/>
          <w:i w:val="0"/>
          <w:color w:val="000000"/>
          <w:sz w:val="24"/>
        </w:rPr>
        <w:t>1. Pillar 1: Regional &amp; Grid-Level Thermal Power Demand (Continuous kW/ton forecasting).</w:t>
        <w:br/>
        <w:t>2. Pillar 2: Device-Level Electrical Power &amp; Predictive Maintenance (Joint kW telemetry regression and binary component failure classification).</w:t>
        <w:br/>
        <w:t>3. Pillar 3: Resident 'Sleeper' Churn &amp; Retention Economics (Classification of inactive off-season residents and dynamic service reactivation).</w:t>
        <w:br/>
        <w:t>4. Pillar 4: Spare Parts Supply Chain &amp; Inventory Optimization (Lead-time demand forecasting and stockout prevention).</w:t>
      </w:r>
    </w:p>
    <w:p>
      <w:pPr>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ml_lifecycle.png"/>
                    <pic:cNvPicPr/>
                  </pic:nvPicPr>
                  <pic:blipFill>
                    <a:blip r:embed="rId11"/>
                    <a:stretch>
                      <a:fillRect/>
                    </a:stretch>
                  </pic:blipFill>
                  <pic:spPr>
                    <a:xfrm>
                      <a:off x="0" y="0"/>
                      <a:ext cx="5303520" cy="2651760"/>
                    </a:xfrm>
                    <a:prstGeom prst="rect"/>
                  </pic:spPr>
                </pic:pic>
              </a:graphicData>
            </a:graphic>
          </wp:inline>
        </w:drawing>
      </w:r>
    </w:p>
    <w:p>
      <w:pPr>
        <w:spacing w:before="40" w:after="200"/>
        <w:jc w:val="center"/>
      </w:pPr>
      <w:r>
        <w:rPr>
          <w:rFonts w:ascii="Times New Roman" w:hAnsi="Times New Roman"/>
          <w:b w:val="0"/>
          <w:i/>
          <w:color w:val="505050"/>
          <w:sz w:val="20"/>
        </w:rPr>
        <w:t>Figure 1: The 10-Stage Machine Learning Lifecycle for the Smart HVAC Heterogeneous Graph Pipeline, highlighting Stage 07 (Model Training) and Stage 08 (Model Evaluation and Tuning).</w:t>
      </w:r>
    </w:p>
    <w:p>
      <w:pPr>
        <w:keepNext/>
        <w:spacing w:before="220" w:after="80"/>
        <w:jc w:val="left"/>
      </w:pPr>
      <w:r>
        <w:rPr>
          <w:rFonts w:ascii="Times New Roman" w:hAnsi="Times New Roman"/>
          <w:b/>
          <w:i w:val="0"/>
          <w:color w:val="1F4E79"/>
          <w:sz w:val="26"/>
        </w:rPr>
        <w:t>1.1 The 10-Stage Machine Learning Lifecycle Framework</w:t>
      </w:r>
    </w:p>
    <w:p>
      <w:pPr>
        <w:spacing w:before="0" w:after="120" w:line="276" w:lineRule="auto"/>
        <w:jc w:val="both"/>
      </w:pPr>
      <w:r>
        <w:rPr>
          <w:rFonts w:ascii="Times New Roman" w:hAnsi="Times New Roman"/>
          <w:b w:val="0"/>
          <w:i w:val="0"/>
          <w:color w:val="000000"/>
          <w:sz w:val="24"/>
        </w:rPr>
        <w:t>Industrial machine learning pipelines require a disciplined lifecycle framework to transition from conceptual hypothesis to reliable production software. Table 1 summarizes the ten sequential stages governing the Smart HVAC Hetero-GNN development: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3120"/>
        <w:gridCol w:w="3120"/>
        <w:gridCol w:w="3120"/>
      </w:tblGrid>
      <w:tr>
        <w:tc>
          <w:tcPr>
            <w:tcW w:type="dxa" w:w="1440"/>
            <w:shd w:fill="1F4E79"/>
            <w:tcMar>
              <w:top w:w="90" w:type="dxa"/>
              <w:bottom w:w="90" w:type="dxa"/>
              <w:left w:w="100" w:type="dxa"/>
              <w:right w:w="100" w:type="dxa"/>
            </w:tcMar>
          </w:tcPr>
          <w:p>
            <w:pPr>
              <w:jc w:val="center"/>
            </w:pPr>
            <w:r>
              <w:rPr>
                <w:rFonts w:ascii="Times New Roman" w:hAnsi="Times New Roman"/>
                <w:b/>
                <w:i w:val="0"/>
                <w:color w:val="FFFFFF"/>
                <w:sz w:val="19"/>
              </w:rPr>
              <w:t>Stage</w:t>
            </w:r>
          </w:p>
        </w:tc>
        <w:tc>
          <w:tcPr>
            <w:tcW w:type="dxa" w:w="2880"/>
            <w:shd w:fill="1F4E79"/>
            <w:tcMar>
              <w:top w:w="90" w:type="dxa"/>
              <w:bottom w:w="90" w:type="dxa"/>
              <w:left w:w="100" w:type="dxa"/>
              <w:right w:w="100" w:type="dxa"/>
            </w:tcMar>
          </w:tcPr>
          <w:p>
            <w:pPr>
              <w:jc w:val="left"/>
            </w:pPr>
            <w:r>
              <w:rPr>
                <w:rFonts w:ascii="Times New Roman" w:hAnsi="Times New Roman"/>
                <w:b/>
                <w:i w:val="0"/>
                <w:color w:val="FFFFFF"/>
                <w:sz w:val="19"/>
              </w:rPr>
              <w:t>Phase Name</w:t>
            </w:r>
          </w:p>
        </w:tc>
        <w:tc>
          <w:tcPr>
            <w:tcW w:type="dxa" w:w="5040"/>
            <w:shd w:fill="1F4E79"/>
            <w:tcMar>
              <w:top w:w="90" w:type="dxa"/>
              <w:bottom w:w="90" w:type="dxa"/>
              <w:left w:w="100" w:type="dxa"/>
              <w:right w:w="100" w:type="dxa"/>
            </w:tcMar>
          </w:tcPr>
          <w:p>
            <w:pPr>
              <w:jc w:val="left"/>
            </w:pPr>
            <w:r>
              <w:rPr>
                <w:rFonts w:ascii="Times New Roman" w:hAnsi="Times New Roman"/>
                <w:b/>
                <w:i w:val="0"/>
                <w:color w:val="FFFFFF"/>
                <w:sz w:val="19"/>
              </w:rPr>
              <w:t>Core Methodology &amp; Operational Scope</w:t>
            </w:r>
          </w:p>
        </w:tc>
      </w:tr>
      <w:tr>
        <w:tc>
          <w:tcPr>
            <w:tcW w:type="dxa" w:w="1440"/>
            <w:shd w:fill="FFFFFF"/>
            <w:tcMar>
              <w:top w:w="70" w:type="dxa"/>
              <w:bottom w:w="70" w:type="dxa"/>
              <w:left w:w="90" w:type="dxa"/>
              <w:right w:w="90" w:type="dxa"/>
            </w:tcMar>
          </w:tcPr>
          <w:p>
            <w:pPr>
              <w:jc w:val="center"/>
            </w:pPr>
            <w:r>
              <w:rPr>
                <w:rFonts w:ascii="Times New Roman" w:hAnsi="Times New Roman"/>
                <w:b w:val="0"/>
                <w:i w:val="0"/>
                <w:color w:val="000000"/>
                <w:sz w:val="18"/>
              </w:rPr>
              <w:t>Step 01</w:t>
            </w:r>
          </w:p>
        </w:tc>
        <w:tc>
          <w:tcPr>
            <w:tcW w:type="dxa" w:w="2880"/>
            <w:shd w:fill="FFFFFF"/>
            <w:tcMar>
              <w:top w:w="70" w:type="dxa"/>
              <w:bottom w:w="70" w:type="dxa"/>
              <w:left w:w="90" w:type="dxa"/>
              <w:right w:w="90" w:type="dxa"/>
            </w:tcMar>
          </w:tcPr>
          <w:p>
            <w:pPr>
              <w:jc w:val="left"/>
            </w:pPr>
            <w:r>
              <w:rPr>
                <w:rFonts w:ascii="Times New Roman" w:hAnsi="Times New Roman"/>
                <w:b w:val="0"/>
                <w:i w:val="0"/>
                <w:color w:val="000000"/>
                <w:sz w:val="18"/>
              </w:rPr>
              <w:t>Problem Definition</w:t>
            </w:r>
          </w:p>
        </w:tc>
        <w:tc>
          <w:tcPr>
            <w:tcW w:type="dxa" w:w="5040"/>
            <w:shd w:fill="FFFFFF"/>
            <w:tcMar>
              <w:top w:w="70" w:type="dxa"/>
              <w:bottom w:w="70" w:type="dxa"/>
              <w:left w:w="90" w:type="dxa"/>
              <w:right w:w="90" w:type="dxa"/>
            </w:tcMar>
          </w:tcPr>
          <w:p>
            <w:pPr>
              <w:jc w:val="left"/>
            </w:pPr>
            <w:r>
              <w:rPr>
                <w:rFonts w:ascii="Times New Roman" w:hAnsi="Times New Roman"/>
                <w:b w:val="0"/>
                <w:i w:val="0"/>
                <w:color w:val="000000"/>
                <w:sz w:val="18"/>
              </w:rPr>
              <w:t>Formalized multi-task graph schema connecting 4 operational pillars; defined core business KPIs (Revenue, OPEX, Cost-Efficiency).</w:t>
            </w:r>
          </w:p>
        </w:tc>
      </w:tr>
      <w:tr>
        <w:tc>
          <w:tcPr>
            <w:tcW w:type="dxa" w:w="1440"/>
            <w:shd w:fill="F9FAFB"/>
            <w:tcMar>
              <w:top w:w="70" w:type="dxa"/>
              <w:bottom w:w="70" w:type="dxa"/>
              <w:left w:w="90" w:type="dxa"/>
              <w:right w:w="90" w:type="dxa"/>
            </w:tcMar>
          </w:tcPr>
          <w:p>
            <w:pPr>
              <w:jc w:val="center"/>
            </w:pPr>
            <w:r>
              <w:rPr>
                <w:rFonts w:ascii="Times New Roman" w:hAnsi="Times New Roman"/>
                <w:b w:val="0"/>
                <w:i w:val="0"/>
                <w:color w:val="000000"/>
                <w:sz w:val="18"/>
              </w:rPr>
              <w:t>Step 02</w:t>
            </w:r>
          </w:p>
        </w:tc>
        <w:tc>
          <w:tcPr>
            <w:tcW w:type="dxa" w:w="2880"/>
            <w:shd w:fill="F9FAFB"/>
            <w:tcMar>
              <w:top w:w="70" w:type="dxa"/>
              <w:bottom w:w="70" w:type="dxa"/>
              <w:left w:w="90" w:type="dxa"/>
              <w:right w:w="90" w:type="dxa"/>
            </w:tcMar>
          </w:tcPr>
          <w:p>
            <w:pPr>
              <w:jc w:val="left"/>
            </w:pPr>
            <w:r>
              <w:rPr>
                <w:rFonts w:ascii="Times New Roman" w:hAnsi="Times New Roman"/>
                <w:b w:val="0"/>
                <w:i w:val="0"/>
                <w:color w:val="000000"/>
                <w:sz w:val="18"/>
              </w:rPr>
              <w:t>Data Collection</w:t>
            </w:r>
          </w:p>
        </w:tc>
        <w:tc>
          <w:tcPr>
            <w:tcW w:type="dxa" w:w="5040"/>
            <w:shd w:fill="F9FAFB"/>
            <w:tcMar>
              <w:top w:w="70" w:type="dxa"/>
              <w:bottom w:w="70" w:type="dxa"/>
              <w:left w:w="90" w:type="dxa"/>
              <w:right w:w="90" w:type="dxa"/>
            </w:tcMar>
          </w:tcPr>
          <w:p>
            <w:pPr>
              <w:jc w:val="left"/>
            </w:pPr>
            <w:r>
              <w:rPr>
                <w:rFonts w:ascii="Times New Roman" w:hAnsi="Times New Roman"/>
                <w:b w:val="0"/>
                <w:i w:val="0"/>
                <w:color w:val="000000"/>
                <w:sz w:val="18"/>
              </w:rPr>
              <w:t>Synthesized 12-month heterogeneous graph schema across 12 Indian climate regimes; ingested real telemetry benchmarks.</w:t>
            </w:r>
          </w:p>
        </w:tc>
      </w:tr>
      <w:tr>
        <w:tc>
          <w:tcPr>
            <w:tcW w:type="dxa" w:w="1440"/>
            <w:shd w:fill="FFFFFF"/>
            <w:tcMar>
              <w:top w:w="70" w:type="dxa"/>
              <w:bottom w:w="70" w:type="dxa"/>
              <w:left w:w="90" w:type="dxa"/>
              <w:right w:w="90" w:type="dxa"/>
            </w:tcMar>
          </w:tcPr>
          <w:p>
            <w:pPr>
              <w:jc w:val="center"/>
            </w:pPr>
            <w:r>
              <w:rPr>
                <w:rFonts w:ascii="Times New Roman" w:hAnsi="Times New Roman"/>
                <w:b w:val="0"/>
                <w:i w:val="0"/>
                <w:color w:val="000000"/>
                <w:sz w:val="18"/>
              </w:rPr>
              <w:t>Step 03</w:t>
            </w:r>
          </w:p>
        </w:tc>
        <w:tc>
          <w:tcPr>
            <w:tcW w:type="dxa" w:w="2880"/>
            <w:shd w:fill="FFFFFF"/>
            <w:tcMar>
              <w:top w:w="70" w:type="dxa"/>
              <w:bottom w:w="70" w:type="dxa"/>
              <w:left w:w="90" w:type="dxa"/>
              <w:right w:w="90" w:type="dxa"/>
            </w:tcMar>
          </w:tcPr>
          <w:p>
            <w:pPr>
              <w:jc w:val="left"/>
            </w:pPr>
            <w:r>
              <w:rPr>
                <w:rFonts w:ascii="Times New Roman" w:hAnsi="Times New Roman"/>
                <w:b w:val="0"/>
                <w:i w:val="0"/>
                <w:color w:val="000000"/>
                <w:sz w:val="18"/>
              </w:rPr>
              <w:t>Preprocessing &amp; Cleaning</w:t>
            </w:r>
          </w:p>
        </w:tc>
        <w:tc>
          <w:tcPr>
            <w:tcW w:type="dxa" w:w="5040"/>
            <w:shd w:fill="FFFFFF"/>
            <w:tcMar>
              <w:top w:w="70" w:type="dxa"/>
              <w:bottom w:w="70" w:type="dxa"/>
              <w:left w:w="90" w:type="dxa"/>
              <w:right w:w="90" w:type="dxa"/>
            </w:tcMar>
          </w:tcPr>
          <w:p>
            <w:pPr>
              <w:jc w:val="left"/>
            </w:pPr>
            <w:r>
              <w:rPr>
                <w:rFonts w:ascii="Times New Roman" w:hAnsi="Times New Roman"/>
                <w:b w:val="0"/>
                <w:i w:val="0"/>
                <w:color w:val="000000"/>
                <w:sz w:val="18"/>
              </w:rPr>
              <w:t>Sensor telemetry validation, physics-based thermal clipping, cyclic time encoding (sin/cos month), and Graph Data normalization.</w:t>
            </w:r>
          </w:p>
        </w:tc>
      </w:tr>
      <w:tr>
        <w:tc>
          <w:tcPr>
            <w:tcW w:type="dxa" w:w="1440"/>
            <w:shd w:fill="F9FAFB"/>
            <w:tcMar>
              <w:top w:w="70" w:type="dxa"/>
              <w:bottom w:w="70" w:type="dxa"/>
              <w:left w:w="90" w:type="dxa"/>
              <w:right w:w="90" w:type="dxa"/>
            </w:tcMar>
          </w:tcPr>
          <w:p>
            <w:pPr>
              <w:jc w:val="center"/>
            </w:pPr>
            <w:r>
              <w:rPr>
                <w:rFonts w:ascii="Times New Roman" w:hAnsi="Times New Roman"/>
                <w:b w:val="0"/>
                <w:i w:val="0"/>
                <w:color w:val="000000"/>
                <w:sz w:val="18"/>
              </w:rPr>
              <w:t>Step 04</w:t>
            </w:r>
          </w:p>
        </w:tc>
        <w:tc>
          <w:tcPr>
            <w:tcW w:type="dxa" w:w="2880"/>
            <w:shd w:fill="F9FAFB"/>
            <w:tcMar>
              <w:top w:w="70" w:type="dxa"/>
              <w:bottom w:w="70" w:type="dxa"/>
              <w:left w:w="90" w:type="dxa"/>
              <w:right w:w="90" w:type="dxa"/>
            </w:tcMar>
          </w:tcPr>
          <w:p>
            <w:pPr>
              <w:jc w:val="left"/>
            </w:pPr>
            <w:r>
              <w:rPr>
                <w:rFonts w:ascii="Times New Roman" w:hAnsi="Times New Roman"/>
                <w:b w:val="0"/>
                <w:i w:val="0"/>
                <w:color w:val="000000"/>
                <w:sz w:val="18"/>
              </w:rPr>
              <w:t>Exploratory Data Analysis</w:t>
            </w:r>
          </w:p>
        </w:tc>
        <w:tc>
          <w:tcPr>
            <w:tcW w:type="dxa" w:w="5040"/>
            <w:shd w:fill="F9FAFB"/>
            <w:tcMar>
              <w:top w:w="70" w:type="dxa"/>
              <w:bottom w:w="70" w:type="dxa"/>
              <w:left w:w="90" w:type="dxa"/>
              <w:right w:w="90" w:type="dxa"/>
            </w:tcMar>
          </w:tcPr>
          <w:p>
            <w:pPr>
              <w:jc w:val="left"/>
            </w:pPr>
            <w:r>
              <w:rPr>
                <w:rFonts w:ascii="Times New Roman" w:hAnsi="Times New Roman"/>
                <w:b w:val="0"/>
                <w:i w:val="0"/>
                <w:color w:val="000000"/>
                <w:sz w:val="18"/>
              </w:rPr>
              <w:t>Identified acute failure class imbalance (&lt;8%), urban heat island amplification, and seasonal sleeper tenant accumulation.</w:t>
            </w:r>
          </w:p>
        </w:tc>
      </w:tr>
      <w:tr>
        <w:tc>
          <w:tcPr>
            <w:tcW w:type="dxa" w:w="1440"/>
            <w:shd w:fill="FFFFFF"/>
            <w:tcMar>
              <w:top w:w="70" w:type="dxa"/>
              <w:bottom w:w="70" w:type="dxa"/>
              <w:left w:w="90" w:type="dxa"/>
              <w:right w:w="90" w:type="dxa"/>
            </w:tcMar>
          </w:tcPr>
          <w:p>
            <w:pPr>
              <w:jc w:val="center"/>
            </w:pPr>
            <w:r>
              <w:rPr>
                <w:rFonts w:ascii="Times New Roman" w:hAnsi="Times New Roman"/>
                <w:b w:val="0"/>
                <w:i w:val="0"/>
                <w:color w:val="000000"/>
                <w:sz w:val="18"/>
              </w:rPr>
              <w:t>Step 05</w:t>
            </w:r>
          </w:p>
        </w:tc>
        <w:tc>
          <w:tcPr>
            <w:tcW w:type="dxa" w:w="2880"/>
            <w:shd w:fill="FFFFFF"/>
            <w:tcMar>
              <w:top w:w="70" w:type="dxa"/>
              <w:bottom w:w="70" w:type="dxa"/>
              <w:left w:w="90" w:type="dxa"/>
              <w:right w:w="90" w:type="dxa"/>
            </w:tcMar>
          </w:tcPr>
          <w:p>
            <w:pPr>
              <w:jc w:val="left"/>
            </w:pPr>
            <w:r>
              <w:rPr>
                <w:rFonts w:ascii="Times New Roman" w:hAnsi="Times New Roman"/>
                <w:b w:val="0"/>
                <w:i w:val="0"/>
                <w:color w:val="000000"/>
                <w:sz w:val="18"/>
              </w:rPr>
              <w:t>Feature Engineering</w:t>
            </w:r>
          </w:p>
        </w:tc>
        <w:tc>
          <w:tcPr>
            <w:tcW w:type="dxa" w:w="5040"/>
            <w:shd w:fill="FFFFFF"/>
            <w:tcMar>
              <w:top w:w="70" w:type="dxa"/>
              <w:bottom w:w="70" w:type="dxa"/>
              <w:left w:w="90" w:type="dxa"/>
              <w:right w:w="90" w:type="dxa"/>
            </w:tcMar>
          </w:tcPr>
          <w:p>
            <w:pPr>
              <w:jc w:val="left"/>
            </w:pPr>
            <w:r>
              <w:rPr>
                <w:rFonts w:ascii="Times New Roman" w:hAnsi="Times New Roman"/>
                <w:b w:val="0"/>
                <w:i w:val="0"/>
                <w:color w:val="000000"/>
                <w:sz w:val="18"/>
              </w:rPr>
              <w:t>Constructed rolling COP thermal ratios, cumulative mechanical vibration stress indices, and customer RFM profiles.</w:t>
            </w:r>
          </w:p>
        </w:tc>
      </w:tr>
      <w:tr>
        <w:tc>
          <w:tcPr>
            <w:tcW w:type="dxa" w:w="1440"/>
            <w:shd w:fill="F9FAFB"/>
            <w:tcMar>
              <w:top w:w="70" w:type="dxa"/>
              <w:bottom w:w="70" w:type="dxa"/>
              <w:left w:w="90" w:type="dxa"/>
              <w:right w:w="90" w:type="dxa"/>
            </w:tcMar>
          </w:tcPr>
          <w:p>
            <w:pPr>
              <w:jc w:val="center"/>
            </w:pPr>
            <w:r>
              <w:rPr>
                <w:rFonts w:ascii="Times New Roman" w:hAnsi="Times New Roman"/>
                <w:b w:val="0"/>
                <w:i w:val="0"/>
                <w:color w:val="000000"/>
                <w:sz w:val="18"/>
              </w:rPr>
              <w:t>Step 06</w:t>
            </w:r>
          </w:p>
        </w:tc>
        <w:tc>
          <w:tcPr>
            <w:tcW w:type="dxa" w:w="2880"/>
            <w:shd w:fill="F9FAFB"/>
            <w:tcMar>
              <w:top w:w="70" w:type="dxa"/>
              <w:bottom w:w="70" w:type="dxa"/>
              <w:left w:w="90" w:type="dxa"/>
              <w:right w:w="90" w:type="dxa"/>
            </w:tcMar>
          </w:tcPr>
          <w:p>
            <w:pPr>
              <w:jc w:val="left"/>
            </w:pPr>
            <w:r>
              <w:rPr>
                <w:rFonts w:ascii="Times New Roman" w:hAnsi="Times New Roman"/>
                <w:b w:val="0"/>
                <w:i w:val="0"/>
                <w:color w:val="000000"/>
                <w:sz w:val="18"/>
              </w:rPr>
              <w:t>Model Selection</w:t>
            </w:r>
          </w:p>
        </w:tc>
        <w:tc>
          <w:tcPr>
            <w:tcW w:type="dxa" w:w="5040"/>
            <w:shd w:fill="F9FAFB"/>
            <w:tcMar>
              <w:top w:w="70" w:type="dxa"/>
              <w:bottom w:w="70" w:type="dxa"/>
              <w:left w:w="90" w:type="dxa"/>
              <w:right w:w="90" w:type="dxa"/>
            </w:tcMar>
          </w:tcPr>
          <w:p>
            <w:pPr>
              <w:jc w:val="left"/>
            </w:pPr>
            <w:r>
              <w:rPr>
                <w:rFonts w:ascii="Times New Roman" w:hAnsi="Times New Roman"/>
                <w:b w:val="0"/>
                <w:i w:val="0"/>
                <w:color w:val="000000"/>
                <w:sz w:val="18"/>
              </w:rPr>
              <w:t>Selected Relational Graph Convolutional Network (RGCN) over homogeneous GCN, GAT, and tabular XGBoost baselines.</w:t>
            </w:r>
          </w:p>
        </w:tc>
      </w:tr>
      <w:tr>
        <w:tc>
          <w:tcPr>
            <w:tcW w:type="dxa" w:w="1440"/>
            <w:shd w:fill="EAF2F8"/>
            <w:tcMar>
              <w:top w:w="70" w:type="dxa"/>
              <w:bottom w:w="70" w:type="dxa"/>
              <w:left w:w="90" w:type="dxa"/>
              <w:right w:w="90" w:type="dxa"/>
            </w:tcMar>
          </w:tcPr>
          <w:p>
            <w:pPr>
              <w:jc w:val="center"/>
            </w:pPr>
            <w:r>
              <w:rPr>
                <w:rFonts w:ascii="Times New Roman" w:hAnsi="Times New Roman"/>
                <w:b/>
                <w:i w:val="0"/>
                <w:color w:val="000000"/>
                <w:sz w:val="18"/>
              </w:rPr>
              <w:t>Step 07</w:t>
            </w:r>
          </w:p>
        </w:tc>
        <w:tc>
          <w:tcPr>
            <w:tcW w:type="dxa" w:w="2880"/>
            <w:shd w:fill="EAF2F8"/>
            <w:tcMar>
              <w:top w:w="70" w:type="dxa"/>
              <w:bottom w:w="70" w:type="dxa"/>
              <w:left w:w="90" w:type="dxa"/>
              <w:right w:w="90" w:type="dxa"/>
            </w:tcMar>
          </w:tcPr>
          <w:p>
            <w:pPr>
              <w:jc w:val="left"/>
            </w:pPr>
            <w:r>
              <w:rPr>
                <w:rFonts w:ascii="Times New Roman" w:hAnsi="Times New Roman"/>
                <w:b/>
                <w:i w:val="0"/>
                <w:color w:val="000000"/>
                <w:sz w:val="18"/>
              </w:rPr>
              <w:t>Model Training</w:t>
            </w:r>
          </w:p>
        </w:tc>
        <w:tc>
          <w:tcPr>
            <w:tcW w:type="dxa" w:w="5040"/>
            <w:shd w:fill="EAF2F8"/>
            <w:tcMar>
              <w:top w:w="70" w:type="dxa"/>
              <w:bottom w:w="70" w:type="dxa"/>
              <w:left w:w="90" w:type="dxa"/>
              <w:right w:w="90" w:type="dxa"/>
            </w:tcMar>
          </w:tcPr>
          <w:p>
            <w:pPr>
              <w:jc w:val="left"/>
            </w:pPr>
            <w:r>
              <w:rPr>
                <w:rFonts w:ascii="Times New Roman" w:hAnsi="Times New Roman"/>
                <w:b/>
                <w:i w:val="0"/>
                <w:color w:val="000000"/>
                <w:sz w:val="18"/>
              </w:rPr>
              <w:t>Engineered high-performance GPU harness on NVIDIA Tesla V100; FP16 AMP; self-healing numerical divergence recovery; 120-epoch pre-training.</w:t>
            </w:r>
          </w:p>
        </w:tc>
      </w:tr>
      <w:tr>
        <w:tc>
          <w:tcPr>
            <w:tcW w:type="dxa" w:w="1440"/>
            <w:shd w:fill="EAF2F8"/>
            <w:tcMar>
              <w:top w:w="70" w:type="dxa"/>
              <w:bottom w:w="70" w:type="dxa"/>
              <w:left w:w="90" w:type="dxa"/>
              <w:right w:w="90" w:type="dxa"/>
            </w:tcMar>
          </w:tcPr>
          <w:p>
            <w:pPr>
              <w:jc w:val="center"/>
            </w:pPr>
            <w:r>
              <w:rPr>
                <w:rFonts w:ascii="Times New Roman" w:hAnsi="Times New Roman"/>
                <w:b/>
                <w:i w:val="0"/>
                <w:color w:val="000000"/>
                <w:sz w:val="18"/>
              </w:rPr>
              <w:t>Step 08</w:t>
            </w:r>
          </w:p>
        </w:tc>
        <w:tc>
          <w:tcPr>
            <w:tcW w:type="dxa" w:w="2880"/>
            <w:shd w:fill="EAF2F8"/>
            <w:tcMar>
              <w:top w:w="70" w:type="dxa"/>
              <w:bottom w:w="70" w:type="dxa"/>
              <w:left w:w="90" w:type="dxa"/>
              <w:right w:w="90" w:type="dxa"/>
            </w:tcMar>
          </w:tcPr>
          <w:p>
            <w:pPr>
              <w:jc w:val="left"/>
            </w:pPr>
            <w:r>
              <w:rPr>
                <w:rFonts w:ascii="Times New Roman" w:hAnsi="Times New Roman"/>
                <w:b/>
                <w:i w:val="0"/>
                <w:color w:val="000000"/>
                <w:sz w:val="18"/>
              </w:rPr>
              <w:t>Evaluation &amp; Fine-Tuning</w:t>
            </w:r>
          </w:p>
        </w:tc>
        <w:tc>
          <w:tcPr>
            <w:tcW w:type="dxa" w:w="5040"/>
            <w:shd w:fill="EAF2F8"/>
            <w:tcMar>
              <w:top w:w="70" w:type="dxa"/>
              <w:bottom w:w="70" w:type="dxa"/>
              <w:left w:w="90" w:type="dxa"/>
              <w:right w:w="90" w:type="dxa"/>
            </w:tcMar>
          </w:tcPr>
          <w:p>
            <w:pPr>
              <w:jc w:val="left"/>
            </w:pPr>
            <w:r>
              <w:rPr>
                <w:rFonts w:ascii="Times New Roman" w:hAnsi="Times New Roman"/>
                <w:b/>
                <w:i w:val="0"/>
                <w:color w:val="000000"/>
                <w:sz w:val="18"/>
              </w:rPr>
              <w:t>Diagnosed 3 audit bottlenecks; formulated Kendall homoscedastic uncertainty loss; fine-tuned on UCI and Kaggle benchmarks in 17.0s.</w:t>
            </w:r>
          </w:p>
        </w:tc>
      </w:tr>
      <w:tr>
        <w:tc>
          <w:tcPr>
            <w:tcW w:type="dxa" w:w="1440"/>
            <w:shd w:fill="FFFFFF"/>
            <w:tcMar>
              <w:top w:w="70" w:type="dxa"/>
              <w:bottom w:w="70" w:type="dxa"/>
              <w:left w:w="90" w:type="dxa"/>
              <w:right w:w="90" w:type="dxa"/>
            </w:tcMar>
          </w:tcPr>
          <w:p>
            <w:pPr>
              <w:jc w:val="center"/>
            </w:pPr>
            <w:r>
              <w:rPr>
                <w:rFonts w:ascii="Times New Roman" w:hAnsi="Times New Roman"/>
                <w:b w:val="0"/>
                <w:i w:val="0"/>
                <w:color w:val="000000"/>
                <w:sz w:val="18"/>
              </w:rPr>
              <w:t>Step 09</w:t>
            </w:r>
          </w:p>
        </w:tc>
        <w:tc>
          <w:tcPr>
            <w:tcW w:type="dxa" w:w="2880"/>
            <w:shd w:fill="FFFFFF"/>
            <w:tcMar>
              <w:top w:w="70" w:type="dxa"/>
              <w:bottom w:w="70" w:type="dxa"/>
              <w:left w:w="90" w:type="dxa"/>
              <w:right w:w="90" w:type="dxa"/>
            </w:tcMar>
          </w:tcPr>
          <w:p>
            <w:pPr>
              <w:jc w:val="left"/>
            </w:pPr>
            <w:r>
              <w:rPr>
                <w:rFonts w:ascii="Times New Roman" w:hAnsi="Times New Roman"/>
                <w:b w:val="0"/>
                <w:i w:val="0"/>
                <w:color w:val="000000"/>
                <w:sz w:val="18"/>
              </w:rPr>
              <w:t>Deployment &amp; Serving</w:t>
            </w:r>
          </w:p>
        </w:tc>
        <w:tc>
          <w:tcPr>
            <w:tcW w:type="dxa" w:w="5040"/>
            <w:shd w:fill="FFFFFF"/>
            <w:tcMar>
              <w:top w:w="70" w:type="dxa"/>
              <w:bottom w:w="70" w:type="dxa"/>
              <w:left w:w="90" w:type="dxa"/>
              <w:right w:w="90" w:type="dxa"/>
            </w:tcMar>
          </w:tcPr>
          <w:p>
            <w:pPr>
              <w:jc w:val="left"/>
            </w:pPr>
            <w:r>
              <w:rPr>
                <w:rFonts w:ascii="Times New Roman" w:hAnsi="Times New Roman"/>
                <w:b w:val="0"/>
                <w:i w:val="0"/>
                <w:color w:val="000000"/>
                <w:sz w:val="18"/>
              </w:rPr>
              <w:t>Packaged model artifacts into inductive inference engines; built interactive Streamlit Argos decision-support dashboard.</w:t>
            </w:r>
          </w:p>
        </w:tc>
      </w:tr>
      <w:tr>
        <w:tc>
          <w:tcPr>
            <w:tcW w:type="dxa" w:w="1440"/>
            <w:shd w:fill="F9FAFB"/>
            <w:tcMar>
              <w:top w:w="70" w:type="dxa"/>
              <w:bottom w:w="70" w:type="dxa"/>
              <w:left w:w="90" w:type="dxa"/>
              <w:right w:w="90" w:type="dxa"/>
            </w:tcMar>
          </w:tcPr>
          <w:p>
            <w:pPr>
              <w:jc w:val="center"/>
            </w:pPr>
            <w:r>
              <w:rPr>
                <w:rFonts w:ascii="Times New Roman" w:hAnsi="Times New Roman"/>
                <w:b w:val="0"/>
                <w:i w:val="0"/>
                <w:color w:val="000000"/>
                <w:sz w:val="18"/>
              </w:rPr>
              <w:t>Step 10</w:t>
            </w:r>
          </w:p>
        </w:tc>
        <w:tc>
          <w:tcPr>
            <w:tcW w:type="dxa" w:w="2880"/>
            <w:shd w:fill="F9FAFB"/>
            <w:tcMar>
              <w:top w:w="70" w:type="dxa"/>
              <w:bottom w:w="70" w:type="dxa"/>
              <w:left w:w="90" w:type="dxa"/>
              <w:right w:w="90" w:type="dxa"/>
            </w:tcMar>
          </w:tcPr>
          <w:p>
            <w:pPr>
              <w:jc w:val="left"/>
            </w:pPr>
            <w:r>
              <w:rPr>
                <w:rFonts w:ascii="Times New Roman" w:hAnsi="Times New Roman"/>
                <w:b w:val="0"/>
                <w:i w:val="0"/>
                <w:color w:val="000000"/>
                <w:sz w:val="18"/>
              </w:rPr>
              <w:t>Monitoring &amp; Maintenance</w:t>
            </w:r>
          </w:p>
        </w:tc>
        <w:tc>
          <w:tcPr>
            <w:tcW w:type="dxa" w:w="5040"/>
            <w:shd w:fill="F9FAFB"/>
            <w:tcMar>
              <w:top w:w="70" w:type="dxa"/>
              <w:bottom w:w="70" w:type="dxa"/>
              <w:left w:w="90" w:type="dxa"/>
              <w:right w:w="90" w:type="dxa"/>
            </w:tcMar>
          </w:tcPr>
          <w:p>
            <w:pPr>
              <w:jc w:val="left"/>
            </w:pPr>
            <w:r>
              <w:rPr>
                <w:rFonts w:ascii="Times New Roman" w:hAnsi="Times New Roman"/>
                <w:b w:val="0"/>
                <w:i w:val="0"/>
                <w:color w:val="000000"/>
                <w:sz w:val="18"/>
              </w:rPr>
              <w:t>Formulated Population Stability Index (PSI) drift tracking, automated retraining triggers, and audited financial P&amp;L verification.</w:t>
            </w:r>
          </w:p>
        </w:tc>
      </w:tr>
    </w:tbl>
    <w:p>
      <w:pPr>
        <w:spacing w:before="0" w:after="160" w:line="276" w:lineRule="auto"/>
        <w:jc w:val="both"/>
      </w:pPr>
    </w:p>
    <w:p>
      <w:pPr>
        <w:spacing w:before="0" w:after="120" w:line="276" w:lineRule="auto"/>
        <w:jc w:val="both"/>
      </w:pPr>
      <w:r>
        <w:rPr>
          <w:rFonts w:ascii="Times New Roman" w:hAnsi="Times New Roman"/>
          <w:b w:val="0"/>
          <w:i w:val="0"/>
          <w:color w:val="000000"/>
          <w:sz w:val="24"/>
        </w:rPr>
        <w:t>Within this comprehensive ten-stage pipeline, Stage 07 (Model Training) and Stage 08 (Model Evaluation and Tuning) constitute the foundational engine where mathematical graph theories and physical constraints are converted into calibrated, deployable model weights. The remainder of this technical report details the author's specific engineering implementations, mathematical derivations, empirical fine-tuning executions, and audited operational ledgers across Stages 7 and 8.</w:t>
      </w:r>
    </w:p>
    <w:p>
      <w:pPr>
        <w:keepNext/>
        <w:spacing w:before="320" w:after="120"/>
        <w:jc w:val="left"/>
      </w:pPr>
      <w:r>
        <w:rPr>
          <w:rFonts w:ascii="Times New Roman" w:hAnsi="Times New Roman"/>
          <w:b/>
          <w:i w:val="0"/>
          <w:color w:val="0F2240"/>
          <w:sz w:val="30"/>
        </w:rPr>
        <w:t>2. Part 7 — Model Training (GPU Architecture &amp; Multi-Task Formulation)</w:t>
      </w:r>
    </w:p>
    <w:p>
      <w:pPr>
        <w:spacing w:before="0" w:after="120" w:line="276" w:lineRule="auto"/>
        <w:jc w:val="both"/>
      </w:pPr>
      <w:r>
        <w:rPr>
          <w:rFonts w:ascii="Times New Roman" w:hAnsi="Times New Roman"/>
          <w:b w:val="0"/>
          <w:i w:val="0"/>
          <w:color w:val="000000"/>
          <w:sz w:val="24"/>
        </w:rPr>
        <w:t>Training a heterogeneous graph neural network over complex multi-modal physics and transactional topologies introduces distinct challenges not encountered in standard deep learning. First, heterogeneous message passing requires aggregating neighborhood features across disparate node and edge types with distinct dimensionalities. Second, concurrent optimization across multiple task heads (regression vs. binary classification) easily leads to gradient interference and numerical instability. This section details the hardware architecture, graph formulation, optimization harness, and self-healing safeguards designed for Phase 7.</w:t>
      </w:r>
    </w:p>
    <w:p>
      <w:pPr>
        <w:keepNext/>
        <w:spacing w:before="220" w:after="80"/>
        <w:jc w:val="left"/>
      </w:pPr>
      <w:r>
        <w:rPr>
          <w:rFonts w:ascii="Times New Roman" w:hAnsi="Times New Roman"/>
          <w:b/>
          <w:i w:val="0"/>
          <w:color w:val="1F4E79"/>
          <w:sz w:val="26"/>
        </w:rPr>
        <w:t>2.1 Compute Infrastructure &amp; NVIDIA Tesla V100 GPU Setup</w:t>
      </w:r>
    </w:p>
    <w:p>
      <w:pPr>
        <w:spacing w:before="0" w:after="120" w:line="276" w:lineRule="auto"/>
        <w:jc w:val="both"/>
      </w:pPr>
      <w:r>
        <w:rPr>
          <w:rFonts w:ascii="Times New Roman" w:hAnsi="Times New Roman"/>
          <w:b w:val="0"/>
          <w:i w:val="0"/>
          <w:color w:val="000000"/>
          <w:sz w:val="24"/>
        </w:rPr>
        <w:t>Training was executed on a dedicated enterprise GPU server configured as follows:</w:t>
      </w:r>
    </w:p>
    <w:p>
      <w:pPr>
        <w:spacing w:before="0" w:after="200" w:line="276" w:lineRule="auto"/>
        <w:jc w:val="both"/>
      </w:pPr>
      <w:r>
        <w:rPr>
          <w:rFonts w:ascii="Times New Roman" w:hAnsi="Times New Roman"/>
          <w:b w:val="0"/>
          <w:i w:val="0"/>
          <w:color w:val="000000"/>
          <w:sz w:val="24"/>
        </w:rPr>
        <w:t>• Host Hardware: NVIDIA Tesla V100S-PCIE-32GB GPU Server (IP: 10.13.1.7)</w:t>
        <w:br/>
        <w:t>• Compute Architecture: Volta (GV100), 5,120 CUDA Cores, 640 Tensor Cores, 32 GB HBM2 VRAM (1,134 GB/s bandwidth)</w:t>
        <w:br/>
        <w:t>• Software Stack: Ubuntu 22.04 LTS, CUDA 13.0, cuDNN 9.0, PyTorch 2.6.0+cu124, PyTorch Geometric (PyG) 2.8.1</w:t>
        <w:br/>
        <w:t>• Precision Protocol: PyTorch Automatic Mixed Precision (AMP with torch.cuda.amp.autocast and GradScaler)</w:t>
        <w:br/>
        <w:t>• Peak Operational VRAM Footprint: 28.8 MB (achieved via fused sparse-matrix message-passing kernels).</w:t>
      </w:r>
    </w:p>
    <w:p>
      <w:pPr>
        <w:keepNext/>
        <w:spacing w:before="220" w:after="80"/>
        <w:jc w:val="left"/>
      </w:pPr>
      <w:r>
        <w:rPr>
          <w:rFonts w:ascii="Times New Roman" w:hAnsi="Times New Roman"/>
          <w:b/>
          <w:i w:val="0"/>
          <w:color w:val="1F4E79"/>
          <w:sz w:val="26"/>
        </w:rPr>
        <w:t>2.2 Heterogeneous Graph Topology &amp; Relational Message Passing</w:t>
      </w:r>
    </w:p>
    <w:p>
      <w:pPr>
        <w:spacing w:before="0" w:after="120" w:line="276" w:lineRule="auto"/>
        <w:jc w:val="both"/>
      </w:pPr>
      <w:r>
        <w:rPr>
          <w:rFonts w:ascii="Times New Roman" w:hAnsi="Times New Roman"/>
          <w:b w:val="0"/>
          <w:i w:val="0"/>
          <w:color w:val="000000"/>
          <w:sz w:val="24"/>
        </w:rPr>
        <w:t>The Smart HVAC system is modeled as a directed heterogeneous graph G = (V, E, Tv, Te). The node types Tv and edge types Te are formally structured as follows:</w:t>
      </w:r>
    </w:p>
    <w:p>
      <w:pPr>
        <w:spacing w:before="0" w:after="160" w:line="276" w:lineRule="auto"/>
        <w:jc w:val="both"/>
      </w:pPr>
      <w:r>
        <w:rPr>
          <w:rFonts w:ascii="Times New Roman" w:hAnsi="Times New Roman"/>
          <w:b w:val="0"/>
          <w:i w:val="0"/>
          <w:color w:val="000000"/>
          <w:sz w:val="24"/>
        </w:rPr>
        <w:t>1. Location Nodes (v in V_loc, d = 6): Ambient temperature (deg C), relative humidity (%), wind speed (m/s), solar irradiance (W/m2), urban heat island amplification index, and building thermal envelope volume (m3).</w:t>
        <w:br/>
        <w:t>2. Device Nodes (v in V_dev, d = 7): Mechanical age (years), cumulative operating hours, rolling Coefficient of Performance (COP), vibration velocity (RMS mm/s), motor operating current (A), refrigerant line pressure (bar), and rated capacity (kW).</w:t>
        <w:br/>
        <w:t>3. Resident Nodes (v in V_res, d = 5): Income tier (1-5), household occupancy count, thermostat target setpoint (deg C), mobile application engagement velocity, and billing credit score.</w:t>
        <w:br/>
        <w:t>4. Part Nodes (v in V_part, d = 5): Unit procurement cost (INR), current warehouse stock level, supplier replenishment lead time (days), safety reorder threshold, and component Mean Time Between Failures (MTBF, hours).</w:t>
      </w:r>
    </w:p>
    <w:p>
      <w:pPr>
        <w:spacing w:before="0" w:after="120" w:line="276" w:lineRule="auto"/>
        <w:jc w:val="both"/>
      </w:pPr>
      <w:r>
        <w:rPr>
          <w:rFonts w:ascii="Times New Roman" w:hAnsi="Times New Roman"/>
          <w:b w:val="0"/>
          <w:i w:val="0"/>
          <w:color w:val="000000"/>
          <w:sz w:val="24"/>
        </w:rPr>
        <w:t>The graph contains three distinct relational edge types: (Location, contains, Device), (Resident, owns, Device), and (Device, requires, Part). Message passing across these relations is parameterized using Relational Graph Convolutional Network (RGCN) layers. For a target node i of type tau at layer l+1, the message-passing update is defined as:</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40" w:type="dxa"/>
            </w:tcMar>
            <w:tcBorders>
              <w:left w:val="single" w:sz="24" w:space="0" w:color="1F4E79"/>
              <w:top w:val="none"/>
              <w:bottom w:val="none"/>
              <w:right w:val="none"/>
            </w:tcBorders>
          </w:tcPr>
          <w:p>
            <w:pPr>
              <w:spacing w:before="0" w:after="40"/>
              <w:jc w:val="left"/>
            </w:pPr>
            <w:r>
              <w:rPr>
                <w:rFonts w:ascii="Times New Roman" w:hAnsi="Times New Roman"/>
                <w:b/>
                <w:i w:val="0"/>
                <w:color w:val="1F4E79"/>
                <w:sz w:val="21"/>
              </w:rPr>
              <w:t>[EQUATION 1: RELATIONAL GRAPH CONVOLUTION (RGCN) MESSAGE PASSING]</w:t>
              <w:br/>
            </w:r>
          </w:p>
          <w:p>
            <w:pPr>
              <w:spacing w:before="20" w:after="40" w:line="276" w:lineRule="auto"/>
              <w:jc w:val="both"/>
            </w:pPr>
            <w:r>
              <w:rPr>
                <w:rFonts w:ascii="Times New Roman" w:hAnsi="Times New Roman"/>
                <w:b w:val="0"/>
                <w:i w:val="0"/>
                <w:color w:val="1E1E1E"/>
                <w:sz w:val="21"/>
              </w:rPr>
              <w:t>h_i^(l+1) = sigma( W_0^(l) h_i^(l) + sum_{r in R} sum_{j in N_i^r} (1 / c_{i,r}) W_r^(l) h_j^(l) )</w:t>
            </w:r>
          </w:p>
          <w:p>
            <w:pPr>
              <w:spacing w:before="20" w:after="40" w:line="276" w:lineRule="auto"/>
              <w:jc w:val="both"/>
            </w:pPr>
            <w:r>
              <w:rPr>
                <w:rFonts w:ascii="Times New Roman" w:hAnsi="Times New Roman"/>
                <w:b w:val="0"/>
                <w:i w:val="0"/>
                <w:color w:val="1E1E1E"/>
                <w:sz w:val="21"/>
              </w:rPr>
              <w:t>where:</w:t>
            </w:r>
          </w:p>
          <w:p>
            <w:pPr>
              <w:spacing w:before="20" w:after="40" w:line="276" w:lineRule="auto"/>
              <w:jc w:val="both"/>
            </w:pPr>
            <w:r>
              <w:rPr>
                <w:rFonts w:ascii="Times New Roman" w:hAnsi="Times New Roman"/>
                <w:b w:val="0"/>
                <w:i w:val="0"/>
                <w:color w:val="1E1E1E"/>
                <w:sz w:val="21"/>
              </w:rPr>
              <w:t>• h_i^(l) in R^(d_l) is the hidden feature representation of node i at layer l.</w:t>
            </w:r>
          </w:p>
          <w:p>
            <w:pPr>
              <w:spacing w:before="20" w:after="40" w:line="276" w:lineRule="auto"/>
              <w:jc w:val="both"/>
            </w:pPr>
            <w:r>
              <w:rPr>
                <w:rFonts w:ascii="Times New Roman" w:hAnsi="Times New Roman"/>
                <w:b w:val="0"/>
                <w:i w:val="0"/>
                <w:color w:val="1E1E1E"/>
                <w:sz w:val="21"/>
              </w:rPr>
              <w:t>• R is the set of heterogeneous relation types (contains, owns, requires).</w:t>
            </w:r>
          </w:p>
          <w:p>
            <w:pPr>
              <w:spacing w:before="20" w:after="40" w:line="276" w:lineRule="auto"/>
              <w:jc w:val="both"/>
            </w:pPr>
            <w:r>
              <w:rPr>
                <w:rFonts w:ascii="Times New Roman" w:hAnsi="Times New Roman"/>
                <w:b w:val="0"/>
                <w:i w:val="0"/>
                <w:color w:val="1E1E1E"/>
                <w:sz w:val="21"/>
              </w:rPr>
              <w:t>• N_i^r denotes the set of neighbors of node i under relation r.</w:t>
            </w:r>
          </w:p>
          <w:p>
            <w:pPr>
              <w:spacing w:before="20" w:after="40" w:line="276" w:lineRule="auto"/>
              <w:jc w:val="both"/>
            </w:pPr>
            <w:r>
              <w:rPr>
                <w:rFonts w:ascii="Times New Roman" w:hAnsi="Times New Roman"/>
                <w:b w:val="0"/>
                <w:i w:val="0"/>
                <w:color w:val="1E1E1E"/>
                <w:sz w:val="21"/>
              </w:rPr>
              <w:t>• W_r^(l) in R^(d_{l+1} x d_l) is the relation-specific weight transformation matrix.</w:t>
            </w:r>
          </w:p>
          <w:p>
            <w:pPr>
              <w:spacing w:before="20" w:after="40" w:line="276" w:lineRule="auto"/>
              <w:jc w:val="both"/>
            </w:pPr>
            <w:r>
              <w:rPr>
                <w:rFonts w:ascii="Times New Roman" w:hAnsi="Times New Roman"/>
                <w:b w:val="0"/>
                <w:i w:val="0"/>
                <w:color w:val="1E1E1E"/>
                <w:sz w:val="21"/>
              </w:rPr>
              <w:t>• W_0^(l) is the self-loop transformation preserving node-intrinsic identity.</w:t>
            </w:r>
          </w:p>
          <w:p>
            <w:pPr>
              <w:spacing w:before="20" w:after="40" w:line="276" w:lineRule="auto"/>
              <w:jc w:val="both"/>
            </w:pPr>
            <w:r>
              <w:rPr>
                <w:rFonts w:ascii="Times New Roman" w:hAnsi="Times New Roman"/>
                <w:b w:val="0"/>
                <w:i w:val="0"/>
                <w:color w:val="1E1E1E"/>
                <w:sz w:val="21"/>
              </w:rPr>
              <w:t>• c_{i,r} = |N_i^r| is a relation-specific normalization constant.</w:t>
            </w:r>
          </w:p>
          <w:p>
            <w:pPr>
              <w:spacing w:before="20" w:after="40" w:line="276" w:lineRule="auto"/>
              <w:jc w:val="both"/>
            </w:pPr>
            <w:r>
              <w:rPr>
                <w:rFonts w:ascii="Times New Roman" w:hAnsi="Times New Roman"/>
                <w:b w:val="0"/>
                <w:i w:val="0"/>
                <w:color w:val="1E1E1E"/>
                <w:sz w:val="21"/>
              </w:rPr>
              <w:t>• sigma(.) denotes the non-linear activation function (LeakyReLU with negative slope 0.05).</w:t>
            </w:r>
          </w:p>
        </w:tc>
      </w:tr>
    </w:tbl>
    <w:p>
      <w:pPr>
        <w:spacing w:before="0" w:after="80"/>
      </w:pPr>
    </w:p>
    <w:p>
      <w:pPr>
        <w:keepNext/>
        <w:spacing w:before="220" w:after="80"/>
        <w:jc w:val="left"/>
      </w:pPr>
      <w:r>
        <w:rPr>
          <w:rFonts w:ascii="Times New Roman" w:hAnsi="Times New Roman"/>
          <w:b/>
          <w:i w:val="0"/>
          <w:color w:val="1F4E79"/>
          <w:sz w:val="26"/>
        </w:rPr>
        <w:t>2.3 Decoupled Multi-Task Architecture &amp; Prediction Heads</w:t>
      </w:r>
    </w:p>
    <w:p>
      <w:pPr>
        <w:spacing w:before="0" w:after="120" w:line="276" w:lineRule="auto"/>
        <w:jc w:val="both"/>
      </w:pPr>
      <w:r>
        <w:rPr>
          <w:rFonts w:ascii="Times New Roman" w:hAnsi="Times New Roman"/>
          <w:b w:val="0"/>
          <w:i w:val="0"/>
          <w:color w:val="000000"/>
          <w:sz w:val="24"/>
        </w:rPr>
        <w:t>Following two layers of relational graph convolution, the latent node representations are routed to five decoupled task-specific projection heads. Each head consists of a 2-layer Multi-Layer Perceptron (MLP) with Layer Normalization and Dropout (p = 0.20):</w:t>
      </w:r>
    </w:p>
    <w:p>
      <w:pPr>
        <w:spacing w:before="0" w:after="160" w:line="276" w:lineRule="auto"/>
        <w:jc w:val="both"/>
      </w:pPr>
      <w:r>
        <w:rPr>
          <w:rFonts w:ascii="Times New Roman" w:hAnsi="Times New Roman"/>
          <w:b w:val="0"/>
          <w:i w:val="0"/>
          <w:color w:val="000000"/>
          <w:sz w:val="24"/>
        </w:rPr>
        <w:t>• Head 1 (Pillar 1 - Demand): y_hat_demand = MLP_demand(h_loc) in R^+ (Regional continuous power demand, kW/ton).</w:t>
        <w:br/>
        <w:t>• Head 2 (Pillar 2 - Power): y_hat_power = MLP_power(h_dev) in R^+ (Device-level continuous electrical draw, kW).</w:t>
        <w:br/>
        <w:t>• Head 3 (Pillar 2 - Failure): y_hat_fail = sigmoid(MLP_fail(h_dev)) in [0, 1] (Probability of mechanical breakdown).</w:t>
        <w:br/>
        <w:t>• Head 4 (Pillar 3 - Churn): y_hat_churn = sigmoid(MLP_churn(h_res)) in [0, 1] (Probability of off-season tenant sleeper churn).</w:t>
        <w:br/>
        <w:t>• Head 5 (Pillar 4 - Inventory): y_hat_inv = MLP_inv(h_part) in R^+ (Required spare parts inventory velocity).</w:t>
      </w:r>
    </w:p>
    <w:p>
      <w:pPr>
        <w:keepNext/>
        <w:spacing w:before="220" w:after="80"/>
        <w:jc w:val="left"/>
      </w:pPr>
      <w:r>
        <w:rPr>
          <w:rFonts w:ascii="Times New Roman" w:hAnsi="Times New Roman"/>
          <w:b/>
          <w:i w:val="0"/>
          <w:color w:val="1F4E79"/>
          <w:sz w:val="26"/>
        </w:rPr>
        <w:t>2.4 Pre-Training Optimization Dynamics &amp; Loss Formulation</w:t>
      </w:r>
    </w:p>
    <w:p>
      <w:pPr>
        <w:spacing w:before="0" w:after="120" w:line="276" w:lineRule="auto"/>
        <w:jc w:val="both"/>
      </w:pPr>
      <w:r>
        <w:rPr>
          <w:rFonts w:ascii="Times New Roman" w:hAnsi="Times New Roman"/>
          <w:b w:val="0"/>
          <w:i w:val="0"/>
          <w:color w:val="000000"/>
          <w:sz w:val="24"/>
        </w:rPr>
        <w:t>During the initial pre-training phase, the network was trained over 120 epochs using an unweighted linear composite loss function:</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40" w:type="dxa"/>
            </w:tcMar>
            <w:tcBorders>
              <w:left w:val="single" w:sz="24" w:space="0" w:color="1F4E79"/>
              <w:top w:val="none"/>
              <w:bottom w:val="none"/>
              <w:right w:val="none"/>
            </w:tcBorders>
          </w:tcPr>
          <w:p>
            <w:pPr>
              <w:spacing w:before="0" w:after="40"/>
              <w:jc w:val="left"/>
            </w:pPr>
            <w:r>
              <w:rPr>
                <w:rFonts w:ascii="Times New Roman" w:hAnsi="Times New Roman"/>
                <w:b/>
                <w:i w:val="0"/>
                <w:color w:val="1F4E79"/>
                <w:sz w:val="21"/>
              </w:rPr>
              <w:t>[EQUATION 2: PRE-TRAINING UNWEIGHTED COMPOSITE LOSS]</w:t>
              <w:br/>
            </w:r>
          </w:p>
          <w:p>
            <w:pPr>
              <w:spacing w:before="20" w:after="40" w:line="276" w:lineRule="auto"/>
              <w:jc w:val="both"/>
            </w:pPr>
            <w:r>
              <w:rPr>
                <w:rFonts w:ascii="Times New Roman" w:hAnsi="Times New Roman"/>
                <w:b w:val="0"/>
                <w:i w:val="0"/>
                <w:color w:val="1E1E1E"/>
                <w:sz w:val="21"/>
              </w:rPr>
              <w:t>L_pretrain = L_demand + L_power + lambda_fail * L_fail + lambda_churn * L_churn + L_inv</w:t>
            </w:r>
          </w:p>
          <w:p>
            <w:pPr>
              <w:spacing w:before="20" w:after="40" w:line="276" w:lineRule="auto"/>
              <w:jc w:val="both"/>
            </w:pPr>
            <w:r>
              <w:rPr>
                <w:rFonts w:ascii="Times New Roman" w:hAnsi="Times New Roman"/>
                <w:b w:val="0"/>
                <w:i w:val="0"/>
                <w:color w:val="1E1E1E"/>
                <w:sz w:val="21"/>
              </w:rPr>
              <w:t>where continuous tasks utilized Mean Squared Error (MSE), classification tasks utilized Binary Cross-Entropy (BCE), and fixed scalar hyperparameters were set to lambda_fail = 2.0 and lambda_churn = 1.5.</w:t>
            </w:r>
          </w:p>
        </w:tc>
      </w:tr>
    </w:tbl>
    <w:p>
      <w:pPr>
        <w:spacing w:before="0" w:after="80"/>
      </w:pPr>
    </w:p>
    <w:p>
      <w:pPr>
        <w:spacing w:before="0" w:after="120" w:line="276" w:lineRule="auto"/>
        <w:jc w:val="both"/>
      </w:pPr>
      <w:r>
        <w:rPr>
          <w:rFonts w:ascii="Times New Roman" w:hAnsi="Times New Roman"/>
          <w:b w:val="0"/>
          <w:i w:val="0"/>
          <w:color w:val="000000"/>
          <w:sz w:val="24"/>
        </w:rPr>
        <w:t>Optimization was driven by AdamW with an initial learning rate eta = 10^-3, weight decay lambda = 10^-4, and first/second moment parameters beta_1 = 0.9, beta_2 = 0.999. A learning rate scheduler (ReduceLROnPlateau, patience=8, factor=0.5) dynamically throttled the step size upon encountering validation loss plateaus.</w:t>
      </w:r>
    </w:p>
    <w:p>
      <w:pPr>
        <w:keepNext/>
        <w:spacing w:before="220" w:after="80"/>
        <w:jc w:val="left"/>
      </w:pPr>
      <w:r>
        <w:rPr>
          <w:rFonts w:ascii="Times New Roman" w:hAnsi="Times New Roman"/>
          <w:b/>
          <w:i w:val="0"/>
          <w:color w:val="1F4E79"/>
          <w:sz w:val="26"/>
        </w:rPr>
        <w:t>2.5 Self-Healing Numerical Divergence Protection Algorithm</w:t>
      </w:r>
    </w:p>
    <w:p>
      <w:pPr>
        <w:spacing w:before="0" w:after="120" w:line="276" w:lineRule="auto"/>
        <w:jc w:val="both"/>
      </w:pPr>
      <w:r>
        <w:rPr>
          <w:rFonts w:ascii="Times New Roman" w:hAnsi="Times New Roman"/>
          <w:b w:val="0"/>
          <w:i w:val="0"/>
          <w:color w:val="000000"/>
          <w:sz w:val="24"/>
        </w:rPr>
        <w:t>Multi-task GNN training over extreme physical ranges (e.g., 45 deg C summer temperature spikes coupled with 0.1 kW standby power draws) frequently causes gradient explosions that result in NaN or Inf loss values. To guarantee unattended training stability, the author authored and integrated a Self-Healing Numerical Divergence Protection harness directly into the training loop:</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40" w:type="dxa"/>
            </w:tcMar>
            <w:tcBorders>
              <w:left w:val="single" w:sz="24" w:space="0" w:color="1F4E79"/>
              <w:top w:val="none"/>
              <w:bottom w:val="none"/>
              <w:right w:val="none"/>
            </w:tcBorders>
          </w:tcPr>
          <w:p>
            <w:pPr>
              <w:spacing w:before="0" w:after="40"/>
              <w:jc w:val="left"/>
            </w:pPr>
            <w:r>
              <w:rPr>
                <w:rFonts w:ascii="Times New Roman" w:hAnsi="Times New Roman"/>
                <w:b/>
                <w:i w:val="0"/>
                <w:color w:val="1F4E79"/>
                <w:sz w:val="21"/>
              </w:rPr>
              <w:t>[ALGORITHM 1: SELF-HEALING TRAINING DIVERGENCE SAFEGUARD]</w:t>
              <w:br/>
            </w:r>
          </w:p>
          <w:p>
            <w:pPr>
              <w:spacing w:before="20" w:after="40" w:line="276" w:lineRule="auto"/>
              <w:jc w:val="both"/>
            </w:pPr>
            <w:r>
              <w:rPr>
                <w:rFonts w:ascii="Times New Roman" w:hAnsi="Times New Roman"/>
                <w:b w:val="0"/>
                <w:i w:val="0"/>
                <w:color w:val="1E1E1E"/>
                <w:sz w:val="21"/>
              </w:rPr>
              <w:t>ALGORITHM 1: SELF-HEALING NUMERICAL DIVERGENCE PROTECTION</w:t>
            </w:r>
          </w:p>
          <w:p>
            <w:pPr>
              <w:spacing w:before="20" w:after="40" w:line="276" w:lineRule="auto"/>
              <w:jc w:val="both"/>
            </w:pPr>
            <w:r>
              <w:rPr>
                <w:rFonts w:ascii="Times New Roman" w:hAnsi="Times New Roman"/>
                <w:b w:val="0"/>
                <w:i w:val="0"/>
                <w:color w:val="1E1E1E"/>
                <w:sz w:val="21"/>
              </w:rPr>
              <w:t>Input: Model parameters theta_t, Moving Average Loss L_bar, Epoch t, Patience counter p</w:t>
            </w:r>
          </w:p>
          <w:p>
            <w:pPr>
              <w:spacing w:before="20" w:after="40" w:line="276" w:lineRule="auto"/>
              <w:jc w:val="both"/>
            </w:pPr>
            <w:r>
              <w:rPr>
                <w:rFonts w:ascii="Times New Roman" w:hAnsi="Times New Roman"/>
                <w:b w:val="0"/>
                <w:i w:val="0"/>
                <w:color w:val="1E1E1E"/>
                <w:sz w:val="21"/>
              </w:rPr>
              <w:t>1. Compute batch loss L_t via forward pass.</w:t>
            </w:r>
          </w:p>
          <w:p>
            <w:pPr>
              <w:spacing w:before="20" w:after="40" w:line="276" w:lineRule="auto"/>
              <w:jc w:val="both"/>
            </w:pPr>
            <w:r>
              <w:rPr>
                <w:rFonts w:ascii="Times New Roman" w:hAnsi="Times New Roman"/>
                <w:b w:val="0"/>
                <w:i w:val="0"/>
                <w:color w:val="1E1E1E"/>
                <w:sz w:val="21"/>
              </w:rPr>
              <w:t>2. If isnan(L_t) or isinf(L_t) or L_t &gt; 10.0 * L_bar:</w:t>
            </w:r>
          </w:p>
          <w:p>
            <w:pPr>
              <w:spacing w:before="20" w:after="40" w:line="276" w:lineRule="auto"/>
              <w:jc w:val="both"/>
            </w:pPr>
            <w:r>
              <w:rPr>
                <w:rFonts w:ascii="Times New Roman" w:hAnsi="Times New Roman"/>
                <w:b w:val="0"/>
                <w:i w:val="0"/>
                <w:color w:val="1E1E1E"/>
                <w:sz w:val="21"/>
              </w:rPr>
              <w:t xml:space="preserve">     a. Log divergence alert: '[ALERT] Gradient explosion detected at Epoch t (Loss: L_t)'.</w:t>
            </w:r>
          </w:p>
          <w:p>
            <w:pPr>
              <w:spacing w:before="20" w:after="40" w:line="276" w:lineRule="auto"/>
              <w:jc w:val="both"/>
            </w:pPr>
            <w:r>
              <w:rPr>
                <w:rFonts w:ascii="Times New Roman" w:hAnsi="Times New Roman"/>
                <w:b w:val="0"/>
                <w:i w:val="0"/>
                <w:color w:val="1E1E1E"/>
                <w:sz w:val="21"/>
              </w:rPr>
              <w:t xml:space="preserve">     b. Revert parameters to last stable checkpoint: theta_t &lt;- theta_{best}.</w:t>
            </w:r>
          </w:p>
          <w:p>
            <w:pPr>
              <w:spacing w:before="20" w:after="40" w:line="276" w:lineRule="auto"/>
              <w:jc w:val="both"/>
            </w:pPr>
            <w:r>
              <w:rPr>
                <w:rFonts w:ascii="Times New Roman" w:hAnsi="Times New Roman"/>
                <w:b w:val="0"/>
                <w:i w:val="0"/>
                <w:color w:val="1E1E1E"/>
                <w:sz w:val="21"/>
              </w:rPr>
              <w:t xml:space="preserve">     c. Halve current learning rate: eta &lt;- eta * 0.5.</w:t>
            </w:r>
          </w:p>
          <w:p>
            <w:pPr>
              <w:spacing w:before="20" w:after="40" w:line="276" w:lineRule="auto"/>
              <w:jc w:val="both"/>
            </w:pPr>
            <w:r>
              <w:rPr>
                <w:rFonts w:ascii="Times New Roman" w:hAnsi="Times New Roman"/>
                <w:b w:val="0"/>
                <w:i w:val="0"/>
                <w:color w:val="1E1E1E"/>
                <w:sz w:val="21"/>
              </w:rPr>
              <w:t xml:space="preserve">     d. Reinitialize AdamW optimizer state buffers (momentum and variance vectors).</w:t>
            </w:r>
          </w:p>
          <w:p>
            <w:pPr>
              <w:spacing w:before="20" w:after="40" w:line="276" w:lineRule="auto"/>
              <w:jc w:val="both"/>
            </w:pPr>
            <w:r>
              <w:rPr>
                <w:rFonts w:ascii="Times New Roman" w:hAnsi="Times New Roman"/>
                <w:b w:val="0"/>
                <w:i w:val="0"/>
                <w:color w:val="1E1E1E"/>
                <w:sz w:val="21"/>
              </w:rPr>
              <w:t xml:space="preserve">     e. Flush PyTorch CUDA memory cache: torch.cuda.empty_cache().</w:t>
            </w:r>
          </w:p>
          <w:p>
            <w:pPr>
              <w:spacing w:before="20" w:after="40" w:line="276" w:lineRule="auto"/>
              <w:jc w:val="both"/>
            </w:pPr>
            <w:r>
              <w:rPr>
                <w:rFonts w:ascii="Times New Roman" w:hAnsi="Times New Roman"/>
                <w:b w:val="0"/>
                <w:i w:val="0"/>
                <w:color w:val="1E1E1E"/>
                <w:sz w:val="21"/>
              </w:rPr>
              <w:t xml:space="preserve">     f. Advance epoch without updating gradient step.</w:t>
            </w:r>
          </w:p>
          <w:p>
            <w:pPr>
              <w:spacing w:before="20" w:after="40" w:line="276" w:lineRule="auto"/>
              <w:jc w:val="both"/>
            </w:pPr>
            <w:r>
              <w:rPr>
                <w:rFonts w:ascii="Times New Roman" w:hAnsi="Times New Roman"/>
                <w:b w:val="0"/>
                <w:i w:val="0"/>
                <w:color w:val="1E1E1E"/>
                <w:sz w:val="21"/>
              </w:rPr>
              <w:t>3. Else:</w:t>
            </w:r>
          </w:p>
          <w:p>
            <w:pPr>
              <w:spacing w:before="20" w:after="40" w:line="276" w:lineRule="auto"/>
              <w:jc w:val="both"/>
            </w:pPr>
            <w:r>
              <w:rPr>
                <w:rFonts w:ascii="Times New Roman" w:hAnsi="Times New Roman"/>
                <w:b w:val="0"/>
                <w:i w:val="0"/>
                <w:color w:val="1E1E1E"/>
                <w:sz w:val="21"/>
              </w:rPr>
              <w:t xml:space="preserve">     a. Execute backward pass with AMP: scaler.scale(L_t).backward().</w:t>
            </w:r>
          </w:p>
          <w:p>
            <w:pPr>
              <w:spacing w:before="20" w:after="40" w:line="276" w:lineRule="auto"/>
              <w:jc w:val="both"/>
            </w:pPr>
            <w:r>
              <w:rPr>
                <w:rFonts w:ascii="Times New Roman" w:hAnsi="Times New Roman"/>
                <w:b w:val="0"/>
                <w:i w:val="0"/>
                <w:color w:val="1E1E1E"/>
                <w:sz w:val="21"/>
              </w:rPr>
              <w:t xml:space="preserve">     b. Unscale and clip gradients: torch.nn.utils.clip_grad_norm_(theta, max_norm=1.0).</w:t>
            </w:r>
          </w:p>
          <w:p>
            <w:pPr>
              <w:spacing w:before="20" w:after="40" w:line="276" w:lineRule="auto"/>
              <w:jc w:val="both"/>
            </w:pPr>
            <w:r>
              <w:rPr>
                <w:rFonts w:ascii="Times New Roman" w:hAnsi="Times New Roman"/>
                <w:b w:val="0"/>
                <w:i w:val="0"/>
                <w:color w:val="1E1E1E"/>
                <w:sz w:val="21"/>
              </w:rPr>
              <w:t xml:space="preserve">     c. Step optimizer and update scaler: scaler.step(opt); scaler.update().</w:t>
            </w:r>
          </w:p>
          <w:p>
            <w:pPr>
              <w:spacing w:before="20" w:after="40" w:line="276" w:lineRule="auto"/>
              <w:jc w:val="both"/>
            </w:pPr>
            <w:r>
              <w:rPr>
                <w:rFonts w:ascii="Times New Roman" w:hAnsi="Times New Roman"/>
                <w:b w:val="0"/>
                <w:i w:val="0"/>
                <w:color w:val="1E1E1E"/>
                <w:sz w:val="21"/>
              </w:rPr>
              <w:t xml:space="preserve">     d. Update running average: L_bar &lt;- 0.95 * L_bar + 0.05 * L_t.</w:t>
            </w:r>
          </w:p>
        </w:tc>
      </w:tr>
    </w:tbl>
    <w:p>
      <w:pPr>
        <w:spacing w:before="0" w:after="80"/>
      </w:pPr>
    </w:p>
    <w:p>
      <w:pPr>
        <w:keepNext/>
        <w:spacing w:before="220" w:after="80"/>
        <w:jc w:val="left"/>
      </w:pPr>
      <w:r>
        <w:rPr>
          <w:rFonts w:ascii="Times New Roman" w:hAnsi="Times New Roman"/>
          <w:b/>
          <w:i w:val="0"/>
          <w:color w:val="1F4E79"/>
          <w:sz w:val="26"/>
        </w:rPr>
        <w:t>2.6 120-Epoch Pre-Training Trajectory &amp; Initial Plateau</w:t>
      </w:r>
    </w:p>
    <w:p>
      <w:pPr>
        <w:spacing w:before="0" w:after="120" w:line="276" w:lineRule="auto"/>
        <w:jc w:val="both"/>
      </w:pPr>
      <w:r>
        <w:rPr>
          <w:rFonts w:ascii="Times New Roman" w:hAnsi="Times New Roman"/>
          <w:b w:val="0"/>
          <w:i w:val="0"/>
          <w:color w:val="000000"/>
          <w:sz w:val="24"/>
        </w:rPr>
        <w:t>The pre-training execution proceeded across 120 epochs on the Tesla V100 GPU. Initial loss decreased rapidly from an initial composite loss of ~245.0 during the first 15 epochs. However, by Epoch 45, the model entered a stubborn optimization plateau, stabilizing around a normalized composite loss of 137.04. The resulting checkpoint was serialized to disk as artifacts/best_hetero_gnn_v100.pt. While functional as an initial inductive baseline, formal evaluation revealed critical underlying deficiencies that necessitated a dedicated fine-tuning phase.</w:t>
      </w:r>
    </w:p>
    <w:p>
      <w:r>
        <w:br w:type="page"/>
      </w:r>
    </w:p>
    <w:p>
      <w:pPr>
        <w:keepNext/>
        <w:spacing w:before="320" w:after="120"/>
        <w:jc w:val="left"/>
      </w:pPr>
      <w:r>
        <w:rPr>
          <w:rFonts w:ascii="Times New Roman" w:hAnsi="Times New Roman"/>
          <w:b/>
          <w:i w:val="0"/>
          <w:color w:val="0F2240"/>
          <w:sz w:val="30"/>
        </w:rPr>
        <w:t>3. Part 8 — Model Evaluation &amp; Fine-Tuning (Audit Bottlenecks &amp; Calibration)</w:t>
      </w:r>
    </w:p>
    <w:p>
      <w:pPr>
        <w:spacing w:before="0" w:after="120" w:line="276" w:lineRule="auto"/>
        <w:jc w:val="both"/>
      </w:pPr>
      <w:r>
        <w:rPr>
          <w:rFonts w:ascii="Times New Roman" w:hAnsi="Times New Roman"/>
          <w:b w:val="0"/>
          <w:i w:val="0"/>
          <w:color w:val="000000"/>
          <w:sz w:val="24"/>
        </w:rPr>
        <w:t>Following the pre-training phase, an extensive technical audit was conducted to benchmark model behavior against industrial operational requirements. This audit revealed severe structural imbalances that degraded real-world reliability. In response, the author engineered a principled fine-tuning regime combining homoscedastic uncertainty loss formulation, robust Huber penalties, and real-world industrial benchmark dataset ingestion.</w:t>
      </w:r>
    </w:p>
    <w:p>
      <w:pPr>
        <w:keepNext/>
        <w:spacing w:before="220" w:after="80"/>
        <w:jc w:val="left"/>
      </w:pPr>
      <w:r>
        <w:rPr>
          <w:rFonts w:ascii="Times New Roman" w:hAnsi="Times New Roman"/>
          <w:b/>
          <w:i w:val="0"/>
          <w:color w:val="1F4E79"/>
          <w:sz w:val="26"/>
        </w:rPr>
        <w:t>3.1 Post-Training Audit Bottlenecks (The Argos Technical Review)</w:t>
      </w:r>
    </w:p>
    <w:p>
      <w:pPr>
        <w:spacing w:before="0" w:after="120" w:line="276" w:lineRule="auto"/>
        <w:jc w:val="both"/>
      </w:pPr>
      <w:r>
        <w:rPr>
          <w:rFonts w:ascii="Times New Roman" w:hAnsi="Times New Roman"/>
          <w:b w:val="0"/>
          <w:i w:val="0"/>
          <w:color w:val="000000"/>
          <w:sz w:val="24"/>
        </w:rPr>
        <w:t>The Argos technical review identified three primary failure modes in the pre-trained checkpoint:</w:t>
      </w:r>
    </w:p>
    <w:p>
      <w:pPr>
        <w:spacing w:before="0" w:after="200" w:line="276" w:lineRule="auto"/>
        <w:jc w:val="both"/>
      </w:pPr>
      <w:r>
        <w:rPr>
          <w:rFonts w:ascii="Times New Roman" w:hAnsi="Times New Roman"/>
          <w:b w:val="0"/>
          <w:i w:val="0"/>
          <w:color w:val="000000"/>
          <w:sz w:val="24"/>
        </w:rPr>
        <w:t>1. Multi-Task Gradient Dominance: Continuous regression tasks exhibited large error magnitudes (Demand MSE: ~115 - 150, Inventory MSE: ~20 - 75). Consequently, their backpropagated gradients were two to three orders of magnitude larger than the gradients from classification tasks (Failure BCE: ~0.70, Churn BCE: ~0.50). The shared RGCN layers were completely dominated by coarse demand fluctuations, preventing the network from learning nuanced topological patterns governing equipment breakdown and tenant churn.</w:t>
        <w:br/>
        <w:t>2. Non-Peak &amp; Shoulder Season Under-Calibration: In temperate and high-humidity months (Months 02, 03, 07, 08, 09, 10, and 11), the pre-trained model flagged exactly zero high-risk equipment units. Because training data was dominated by high-power summer loads, the model failed to recognize moisture condensation and electrical insulation breakdown occurring during monsoon and transition regimes.</w:t>
        <w:br/>
        <w:t>3. Late-Epoch Loss Oscillations: Due to unconstrained squared-error penalties (MSE), outlier temperature spikes during peak summer caused sharp gradient kicks that destabilized parameter weights in later training epochs.</w:t>
      </w:r>
    </w:p>
    <w:p>
      <w:pPr>
        <w:keepNext/>
        <w:spacing w:before="220" w:after="80"/>
        <w:jc w:val="left"/>
      </w:pPr>
      <w:r>
        <w:rPr>
          <w:rFonts w:ascii="Times New Roman" w:hAnsi="Times New Roman"/>
          <w:b/>
          <w:i w:val="0"/>
          <w:color w:val="1F4E79"/>
          <w:sz w:val="26"/>
        </w:rPr>
        <w:t>3.2 Mathematical Formulation of Fine-Tuning Calibrations</w:t>
      </w:r>
    </w:p>
    <w:p>
      <w:pPr>
        <w:spacing w:before="0" w:after="120" w:line="276" w:lineRule="auto"/>
        <w:jc w:val="both"/>
      </w:pPr>
      <w:r>
        <w:rPr>
          <w:rFonts w:ascii="Times New Roman" w:hAnsi="Times New Roman"/>
          <w:b w:val="0"/>
          <w:i w:val="0"/>
          <w:color w:val="000000"/>
          <w:sz w:val="24"/>
        </w:rPr>
        <w:t>To resolve these audit bottlenecks, three mathematical innovations were formulated and implemented:</w:t>
      </w:r>
    </w:p>
    <w:p>
      <w:pPr>
        <w:keepNext/>
        <w:spacing w:before="160" w:after="60"/>
        <w:jc w:val="left"/>
      </w:pPr>
      <w:r>
        <w:rPr>
          <w:rFonts w:ascii="Times New Roman" w:hAnsi="Times New Roman"/>
          <w:b/>
          <w:i/>
          <w:color w:val="2C3E50"/>
          <w:sz w:val="24"/>
        </w:rPr>
        <w:t>3.2.1 Kendall Homoscedastic Uncertainty Weighting</w:t>
      </w:r>
    </w:p>
    <w:p>
      <w:pPr>
        <w:spacing w:before="0" w:after="120" w:line="276" w:lineRule="auto"/>
        <w:jc w:val="both"/>
      </w:pPr>
      <w:r>
        <w:rPr>
          <w:rFonts w:ascii="Times New Roman" w:hAnsi="Times New Roman"/>
          <w:b w:val="0"/>
          <w:i w:val="0"/>
          <w:color w:val="000000"/>
          <w:sz w:val="24"/>
        </w:rPr>
        <w:t>Rather than relying on arbitrary manual hyperparameter grid searches (e.g., tuning lambda_1, ..., lambda_5), we adopt the Bayesian multi-task uncertainty formulation developed by Kendall et al. (CVPR 2018). We model continuous regression outputs as Gaussian likelihoods with task-specific observation noise sigma_i, and binary classification outputs as scaled Bernoulli likelihoods:</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40" w:type="dxa"/>
            </w:tcMar>
            <w:tcBorders>
              <w:left w:val="single" w:sz="24" w:space="0" w:color="1F4E79"/>
              <w:top w:val="none"/>
              <w:bottom w:val="none"/>
              <w:right w:val="none"/>
            </w:tcBorders>
          </w:tcPr>
          <w:p>
            <w:pPr>
              <w:spacing w:before="0" w:after="40"/>
              <w:jc w:val="left"/>
            </w:pPr>
            <w:r>
              <w:rPr>
                <w:rFonts w:ascii="Times New Roman" w:hAnsi="Times New Roman"/>
                <w:b/>
                <w:i w:val="0"/>
                <w:color w:val="1F4E79"/>
                <w:sz w:val="21"/>
              </w:rPr>
              <w:t>[EQUATION 3: KENDALL HOMOSCEDASTIC UNCERTAINTY MULTI-TASK LOSS]</w:t>
              <w:br/>
            </w:r>
          </w:p>
          <w:p>
            <w:pPr>
              <w:spacing w:before="20" w:after="40" w:line="276" w:lineRule="auto"/>
              <w:jc w:val="both"/>
            </w:pPr>
            <w:r>
              <w:rPr>
                <w:rFonts w:ascii="Times New Roman" w:hAnsi="Times New Roman"/>
                <w:b w:val="0"/>
                <w:i w:val="0"/>
                <w:color w:val="1E1E1E"/>
                <w:sz w:val="21"/>
              </w:rPr>
              <w:t>L(W, sigma_1, ..., sigma_5) = sum_{i in Reg} [ (1 / (2 * sigma_i^2)) * L_i + log(sigma_i) ] + sum_{j in Cls} [ (1 / sigma_j^2) * L_j + log(sigma_j) ]</w:t>
            </w:r>
          </w:p>
          <w:p>
            <w:pPr>
              <w:spacing w:before="20" w:after="40" w:line="276" w:lineRule="auto"/>
              <w:jc w:val="both"/>
            </w:pPr>
            <w:r>
              <w:rPr>
                <w:rFonts w:ascii="Times New Roman" w:hAnsi="Times New Roman"/>
                <w:b w:val="0"/>
                <w:i w:val="0"/>
                <w:color w:val="1E1E1E"/>
                <w:sz w:val="21"/>
              </w:rPr>
              <w:t>To ensure numerical stability and prevent division by zero during optimization, we reparameterize each variance term in the log space: s_k = log(sigma_k^2), yielding:</w:t>
            </w:r>
          </w:p>
          <w:p>
            <w:pPr>
              <w:spacing w:before="20" w:after="40" w:line="276" w:lineRule="auto"/>
              <w:jc w:val="both"/>
            </w:pPr>
            <w:r>
              <w:rPr>
                <w:rFonts w:ascii="Times New Roman" w:hAnsi="Times New Roman"/>
                <w:b w:val="0"/>
                <w:i w:val="0"/>
                <w:color w:val="1E1E1E"/>
                <w:sz w:val="21"/>
              </w:rPr>
              <w:t>L_uncertainty(W, s) = sum_{k=1}^5 [ 0.5 * exp(-s_k) * L_k + 0.5 * s_k ]</w:t>
            </w:r>
          </w:p>
          <w:p>
            <w:pPr>
              <w:spacing w:before="20" w:after="40" w:line="276" w:lineRule="auto"/>
              <w:jc w:val="both"/>
            </w:pPr>
            <w:r>
              <w:rPr>
                <w:rFonts w:ascii="Times New Roman" w:hAnsi="Times New Roman"/>
                <w:b w:val="0"/>
                <w:i w:val="0"/>
                <w:color w:val="1E1E1E"/>
                <w:sz w:val="21"/>
              </w:rPr>
              <w:t>where:</w:t>
            </w:r>
          </w:p>
          <w:p>
            <w:pPr>
              <w:spacing w:before="20" w:after="40" w:line="276" w:lineRule="auto"/>
              <w:jc w:val="both"/>
            </w:pPr>
            <w:r>
              <w:rPr>
                <w:rFonts w:ascii="Times New Roman" w:hAnsi="Times New Roman"/>
                <w:b w:val="0"/>
                <w:i w:val="0"/>
                <w:color w:val="1E1E1E"/>
                <w:sz w:val="21"/>
              </w:rPr>
              <w:t>• s_k in R is an unconstrained, learnable parameter optimized end-to-end via backpropagation.</w:t>
            </w:r>
          </w:p>
          <w:p>
            <w:pPr>
              <w:spacing w:before="20" w:after="40" w:line="276" w:lineRule="auto"/>
              <w:jc w:val="both"/>
            </w:pPr>
            <w:r>
              <w:rPr>
                <w:rFonts w:ascii="Times New Roman" w:hAnsi="Times New Roman"/>
                <w:b w:val="0"/>
                <w:i w:val="0"/>
                <w:color w:val="1E1E1E"/>
                <w:sz w:val="21"/>
              </w:rPr>
              <w:t>• As task error L_k increases, the network learns to increase s_k (attenuating the gradient impact of that task).</w:t>
            </w:r>
          </w:p>
          <w:p>
            <w:pPr>
              <w:spacing w:before="20" w:after="40" w:line="276" w:lineRule="auto"/>
              <w:jc w:val="both"/>
            </w:pPr>
            <w:r>
              <w:rPr>
                <w:rFonts w:ascii="Times New Roman" w:hAnsi="Times New Roman"/>
                <w:b w:val="0"/>
                <w:i w:val="0"/>
                <w:color w:val="1E1E1E"/>
                <w:sz w:val="21"/>
              </w:rPr>
              <w:t>• The penalty term 0.5 * s_k acts as an intrinsic regularizer preventing s_k -&gt; infinity.</w:t>
            </w:r>
          </w:p>
          <w:p>
            <w:pPr>
              <w:spacing w:before="20" w:after="40" w:line="276" w:lineRule="auto"/>
              <w:jc w:val="both"/>
            </w:pPr>
            <w:r>
              <w:rPr>
                <w:rFonts w:ascii="Times New Roman" w:hAnsi="Times New Roman"/>
                <w:b w:val="0"/>
                <w:i w:val="0"/>
                <w:color w:val="1E1E1E"/>
                <w:sz w:val="21"/>
              </w:rPr>
              <w:t>• This guarantees that all five task heads dynamically calibrate their gradient contributions to parity.</w:t>
            </w:r>
          </w:p>
        </w:tc>
      </w:tr>
    </w:tbl>
    <w:p>
      <w:pPr>
        <w:spacing w:before="0" w:after="80"/>
      </w:pPr>
    </w:p>
    <w:p>
      <w:pPr>
        <w:keepNext/>
        <w:spacing w:before="160" w:after="60"/>
        <w:jc w:val="left"/>
      </w:pPr>
      <w:r>
        <w:rPr>
          <w:rFonts w:ascii="Times New Roman" w:hAnsi="Times New Roman"/>
          <w:b/>
          <w:i/>
          <w:color w:val="2C3E50"/>
          <w:sz w:val="24"/>
        </w:rPr>
        <w:t>3.2.2 SmoothL1 (Huber) Loss for Thermal Outlier Resistance</w:t>
      </w:r>
    </w:p>
    <w:p>
      <w:pPr>
        <w:spacing w:before="0" w:after="120" w:line="276" w:lineRule="auto"/>
        <w:jc w:val="both"/>
      </w:pPr>
      <w:r>
        <w:rPr>
          <w:rFonts w:ascii="Times New Roman" w:hAnsi="Times New Roman"/>
          <w:b w:val="0"/>
          <w:i w:val="0"/>
          <w:color w:val="000000"/>
          <w:sz w:val="24"/>
        </w:rPr>
        <w:t>To prevent quadratic gradient explosion from extreme summer heatwaves (e.g., 46 deg C ambient peaks) while maintaining precision near zero error, all continuous regression heads were transitioned from standard MSE to SmoothL1 (Huber) loss with transition threshold beta = 4.0:</w:t>
      </w: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40" w:type="dxa"/>
            </w:tcMar>
            <w:tcBorders>
              <w:left w:val="single" w:sz="24" w:space="0" w:color="1F4E79"/>
              <w:top w:val="none"/>
              <w:bottom w:val="none"/>
              <w:right w:val="none"/>
            </w:tcBorders>
          </w:tcPr>
          <w:p>
            <w:pPr>
              <w:spacing w:before="0" w:after="40"/>
              <w:jc w:val="left"/>
            </w:pPr>
            <w:r>
              <w:rPr>
                <w:rFonts w:ascii="Times New Roman" w:hAnsi="Times New Roman"/>
                <w:b/>
                <w:i w:val="0"/>
                <w:color w:val="1F4E79"/>
                <w:sz w:val="21"/>
              </w:rPr>
              <w:t>[EQUATION 4: SMOOTHL1 (HUBER) ROBUST LOSS FORMULATION]</w:t>
              <w:br/>
            </w:r>
          </w:p>
          <w:p>
            <w:pPr>
              <w:spacing w:before="20" w:after="40" w:line="276" w:lineRule="auto"/>
              <w:jc w:val="both"/>
            </w:pPr>
            <w:r>
              <w:rPr>
                <w:rFonts w:ascii="Times New Roman" w:hAnsi="Times New Roman"/>
                <w:b w:val="0"/>
                <w:i w:val="0"/>
                <w:color w:val="1E1E1E"/>
                <w:sz w:val="21"/>
              </w:rPr>
              <w:t>SmoothL1(y, y_hat) = 0.5 * (y - y_hat)^2 / beta,    if |y - y_hat| &lt; beta</w:t>
            </w:r>
          </w:p>
          <w:p>
            <w:pPr>
              <w:spacing w:before="20" w:after="40" w:line="276" w:lineRule="auto"/>
              <w:jc w:val="both"/>
            </w:pPr>
            <w:r>
              <w:rPr>
                <w:rFonts w:ascii="Times New Roman" w:hAnsi="Times New Roman"/>
                <w:b w:val="0"/>
                <w:i w:val="0"/>
                <w:color w:val="1E1E1E"/>
                <w:sz w:val="21"/>
              </w:rPr>
              <w:t>SmoothL1(y, y_hat) = |y - y_hat| - 0.5 * beta,      otherwise</w:t>
            </w:r>
          </w:p>
          <w:p>
            <w:pPr>
              <w:spacing w:before="20" w:after="40" w:line="276" w:lineRule="auto"/>
              <w:jc w:val="both"/>
            </w:pPr>
            <w:r>
              <w:rPr>
                <w:rFonts w:ascii="Times New Roman" w:hAnsi="Times New Roman"/>
                <w:b w:val="0"/>
                <w:i w:val="0"/>
                <w:color w:val="1E1E1E"/>
                <w:sz w:val="21"/>
              </w:rPr>
              <w:t>This ensures a quadratic L2 penalty for small residuals (|e| &lt; 4.0) ensuring smooth convergence, and a linear L1 penalty with bounded constant gradient (|grad| = 1.0) for large anomalies (|e| &gt;= 4.0).</w:t>
            </w:r>
          </w:p>
        </w:tc>
      </w:tr>
    </w:tbl>
    <w:p>
      <w:pPr>
        <w:spacing w:before="0" w:after="80"/>
      </w:pPr>
    </w:p>
    <w:p>
      <w:pPr>
        <w:keepNext/>
        <w:spacing w:before="160" w:after="60"/>
        <w:jc w:val="left"/>
      </w:pPr>
      <w:r>
        <w:rPr>
          <w:rFonts w:ascii="Times New Roman" w:hAnsi="Times New Roman"/>
          <w:b/>
          <w:i/>
          <w:color w:val="2C3E50"/>
          <w:sz w:val="24"/>
        </w:rPr>
        <w:t>3.2.3 Class-Balanced Binary Cross-Entropy</w:t>
      </w:r>
    </w:p>
    <w:p>
      <w:pPr>
        <w:spacing w:before="0" w:after="120" w:line="276" w:lineRule="auto"/>
        <w:jc w:val="both"/>
      </w:pPr>
      <w:r>
        <w:rPr>
          <w:rFonts w:ascii="Times New Roman" w:hAnsi="Times New Roman"/>
          <w:b w:val="0"/>
          <w:i w:val="0"/>
          <w:color w:val="000000"/>
          <w:sz w:val="24"/>
        </w:rPr>
        <w:t>Both equipment failure and sleeper churn suffer from severe positive-class rarity (&lt;8% positive prevalence). Standard BCE causes the model to collapse to trivial zero-prediction. We introduce positive class weight multipliers into the cross-entropy formulation:</w:t>
      </w:r>
    </w:p>
    <w:p>
      <w:pPr>
        <w:spacing w:before="0" w:after="200" w:line="276" w:lineRule="auto"/>
        <w:jc w:val="both"/>
      </w:pPr>
      <w:r>
        <w:rPr>
          <w:rFonts w:ascii="Times New Roman" w:hAnsi="Times New Roman"/>
          <w:b w:val="0"/>
          <w:i w:val="0"/>
          <w:color w:val="000000"/>
          <w:sz w:val="24"/>
        </w:rPr>
        <w:t>• Equipment Failure Head: w_pos = 2.5 (forces network to penalize false negatives 2.5x more heavily than false alarms).</w:t>
        <w:br/>
        <w:t>• Sleeper Churn Head: w_pos = 1.8 (penalizes missed dormant residents to maximize seasonal reactivation).</w:t>
      </w:r>
    </w:p>
    <w:p>
      <w:pPr>
        <w:keepNext/>
        <w:spacing w:before="220" w:after="80"/>
        <w:jc w:val="left"/>
      </w:pPr>
      <w:r>
        <w:rPr>
          <w:rFonts w:ascii="Times New Roman" w:hAnsi="Times New Roman"/>
          <w:b/>
          <w:i w:val="0"/>
          <w:color w:val="1F4E79"/>
          <w:sz w:val="26"/>
        </w:rPr>
        <w:t>3.3 Real Industrial &amp; Transactional Benchmark Datasets Ingested</w:t>
      </w:r>
    </w:p>
    <w:p>
      <w:pPr>
        <w:spacing w:before="0" w:after="120" w:line="276" w:lineRule="auto"/>
        <w:jc w:val="both"/>
      </w:pPr>
      <w:r>
        <w:rPr>
          <w:rFonts w:ascii="Times New Roman" w:hAnsi="Times New Roman"/>
          <w:b w:val="0"/>
          <w:i w:val="0"/>
          <w:color w:val="000000"/>
          <w:sz w:val="24"/>
        </w:rPr>
        <w:t>To ground the fine-tuning in verified empirical distributions rather than purely synthetic graphs, three real-world benchmark datasets were curated, filtered, and mapped into the GNN node feature tensors:</w:t>
      </w:r>
    </w:p>
    <w:p>
      <w:pPr>
        <w:spacing w:before="0" w:after="200" w:line="276" w:lineRule="auto"/>
        <w:jc w:val="both"/>
      </w:pPr>
      <w:r>
        <w:rPr>
          <w:rFonts w:ascii="Times New Roman" w:hAnsi="Times New Roman"/>
          <w:b w:val="0"/>
          <w:i w:val="0"/>
          <w:color w:val="000000"/>
          <w:sz w:val="24"/>
        </w:rPr>
        <w:t>1. UCI AI4I 2020 Predictive Maintenance Dataset (dataset/601): 10,000 industrial machine telemetry records. Ingested rotational torque tau (Nm) and rotational speed omega (rad/s) to compute real mechanical power P_mech = tau * omega * 10^-3 (1.2 to 3.6 kW). Extracted Heat Dissipation Failure (HDF) and Power Failure (PWF) flags to populate y_failure ground truth.</w:t>
        <w:br/>
        <w:t>2. UCI Online Retail II Dataset (dataset/502): 525,468 e-commerce transaction logs across 4,312 distinct customer accounts. Ingested CustomerID, InvoiceDate, Quantity, and UnitPrice. Engineered Recency, Frequency, and Monetary (RFM) profiles. Mapped customer Recency &gt; 90 days during shoulder seasons directly to y_sleeper = 1 ground-truth churn labels, and customer Monetary CLV tiers to Resident income_tier attributes.</w:t>
        <w:br/>
        <w:t>3. Kaggle HVAC Power Consumption Dataset (felixpradoh): 8,760 hourly readings spanning a complete 365-day annual cycle. Ingested ambient temperatures (-2 deg C to 44 deg C), wet-bulb humidity, and seasonal electrical power draws (kW) to calibrate COP degradation and thermal lag curves.</w:t>
      </w:r>
    </w:p>
    <w:p>
      <w:pPr>
        <w:keepNext/>
        <w:spacing w:before="220" w:after="80"/>
        <w:jc w:val="left"/>
      </w:pPr>
      <w:r>
        <w:rPr>
          <w:rFonts w:ascii="Times New Roman" w:hAnsi="Times New Roman"/>
          <w:b/>
          <w:i w:val="0"/>
          <w:color w:val="1F4E79"/>
          <w:sz w:val="26"/>
        </w:rPr>
        <w:t>3.4 Fine-Tuning Execution on Tesla V100 GPU (fine_tune_v100.py)</w:t>
      </w:r>
    </w:p>
    <w:p>
      <w:pPr>
        <w:spacing w:before="0" w:after="120" w:line="276" w:lineRule="auto"/>
        <w:jc w:val="both"/>
      </w:pPr>
      <w:r>
        <w:rPr>
          <w:rFonts w:ascii="Times New Roman" w:hAnsi="Times New Roman"/>
          <w:b w:val="0"/>
          <w:i w:val="0"/>
          <w:color w:val="000000"/>
          <w:sz w:val="24"/>
        </w:rPr>
        <w:t>Fine-tuning was executed on the NVIDIA Tesla V100 GPU utilizing the specialized harness fine_tune_v100.py. The pre-trained weights artifacts/best_hetero_gnn_v100.pt served as the parameter initialization. Training utilized the AdamW optimizer with learning rate eta = 2.5 * 10^-4, Cosine Annealing learning rate schedule (T_max = 60, eta_min = 10^-5), and gradient norm clipping (max_norm = 1.0).</w:t>
      </w:r>
    </w:p>
    <w:p>
      <w:pPr>
        <w:spacing w:before="0" w:after="160" w:line="276" w:lineRule="auto"/>
        <w:jc w:val="both"/>
      </w:pPr>
      <w:r>
        <w:rPr>
          <w:rFonts w:ascii="Times New Roman" w:hAnsi="Times New Roman"/>
          <w:b w:val="0"/>
          <w:i w:val="0"/>
          <w:color w:val="000000"/>
          <w:sz w:val="24"/>
        </w:rPr>
        <w:t>• Execution Duration: Exactly 17.0 seconds across 60 calibrated epochs.</w:t>
        <w:br/>
        <w:t>• GPU VRAM Utilization: Peak allocation held at 28.8 MB.</w:t>
        <w:br/>
        <w:t>• Loss Convergence: Normalized composite loss plummeted from 137.04 to 46.80 (-65.85% overall reduction).</w:t>
        <w:br/>
        <w:t>• Output Checkpoint: Serialized as artifacts/fine_tuned_hetero_gnn_v100.pt.</w:t>
      </w:r>
    </w:p>
    <w:p>
      <w:pPr>
        <w:spacing w:before="160" w:after="80"/>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fig2_v100_finetune_loss_curve.png"/>
                    <pic:cNvPicPr/>
                  </pic:nvPicPr>
                  <pic:blipFill>
                    <a:blip r:embed="rId12"/>
                    <a:stretch>
                      <a:fillRect/>
                    </a:stretch>
                  </pic:blipFill>
                  <pic:spPr>
                    <a:xfrm>
                      <a:off x="0" y="0"/>
                      <a:ext cx="5669280" cy="2164634"/>
                    </a:xfrm>
                    <a:prstGeom prst="rect"/>
                  </pic:spPr>
                </pic:pic>
              </a:graphicData>
            </a:graphic>
          </wp:inline>
        </w:drawing>
      </w:r>
    </w:p>
    <w:p>
      <w:pPr>
        <w:spacing w:before="40" w:after="200"/>
        <w:jc w:val="center"/>
      </w:pPr>
      <w:r>
        <w:rPr>
          <w:rFonts w:ascii="Times New Roman" w:hAnsi="Times New Roman"/>
          <w:b w:val="0"/>
          <w:i/>
          <w:color w:val="505050"/>
          <w:sz w:val="20"/>
        </w:rPr>
        <w:t>Figure 2: Training loss trajectories: (a) Stage 07 Pre-training composite loss plateauing at 137.04 across 120 epochs; (b) Stage 08 Fine-tuning convergence on Tesla V100 GPU reaching 46.80 under Kendall homoscedastic uncertainty weighting (17.0s duration).</w:t>
      </w:r>
    </w:p>
    <w:p>
      <w:pPr>
        <w:keepNext/>
        <w:spacing w:before="220" w:after="80"/>
        <w:jc w:val="left"/>
      </w:pPr>
      <w:r>
        <w:rPr>
          <w:rFonts w:ascii="Times New Roman" w:hAnsi="Times New Roman"/>
          <w:b/>
          <w:i w:val="0"/>
          <w:color w:val="1F4E79"/>
          <w:sz w:val="26"/>
        </w:rPr>
        <w:t>3.5 Quantitative Model Evaluation: Before vs. After Calibration Ledger</w:t>
      </w:r>
    </w:p>
    <w:p>
      <w:pPr>
        <w:spacing w:before="0" w:after="120" w:line="276" w:lineRule="auto"/>
        <w:jc w:val="both"/>
      </w:pPr>
      <w:r>
        <w:rPr>
          <w:rFonts w:ascii="Times New Roman" w:hAnsi="Times New Roman"/>
          <w:b w:val="0"/>
          <w:i w:val="0"/>
          <w:color w:val="000000"/>
          <w:sz w:val="24"/>
        </w:rPr>
        <w:t>Table 2 provides the exhaustive quantitative comparison between the pre-fine-tune baseline checkpoint and the post-fine-tune calibrated model across all five prediction heads and financial metrics: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72"/>
        <w:gridCol w:w="1872"/>
        <w:gridCol w:w="1872"/>
        <w:gridCol w:w="1872"/>
        <w:gridCol w:w="1872"/>
      </w:tblGrid>
      <w:tr>
        <w:tc>
          <w:tcPr>
            <w:tcW w:type="dxa" w:w="2592"/>
            <w:shd w:fill="1F4E79"/>
            <w:tcMar>
              <w:top w:w="90" w:type="dxa"/>
              <w:bottom w:w="90" w:type="dxa"/>
              <w:left w:w="90" w:type="dxa"/>
              <w:right w:w="90" w:type="dxa"/>
            </w:tcMar>
          </w:tcPr>
          <w:p>
            <w:pPr>
              <w:jc w:val="left"/>
            </w:pPr>
            <w:r>
              <w:rPr>
                <w:rFonts w:ascii="Times New Roman" w:hAnsi="Times New Roman"/>
                <w:b/>
                <w:i w:val="0"/>
                <w:color w:val="FFFFFF"/>
                <w:sz w:val="19"/>
              </w:rPr>
              <w:t>Metric / Task Head</w:t>
            </w:r>
          </w:p>
        </w:tc>
        <w:tc>
          <w:tcPr>
            <w:tcW w:type="dxa" w:w="1584"/>
            <w:shd w:fill="1F4E79"/>
            <w:tcMar>
              <w:top w:w="90" w:type="dxa"/>
              <w:bottom w:w="90" w:type="dxa"/>
              <w:left w:w="90" w:type="dxa"/>
              <w:right w:w="90" w:type="dxa"/>
            </w:tcMar>
          </w:tcPr>
          <w:p>
            <w:pPr>
              <w:jc w:val="center"/>
            </w:pPr>
            <w:r>
              <w:rPr>
                <w:rFonts w:ascii="Times New Roman" w:hAnsi="Times New Roman"/>
                <w:b/>
                <w:i w:val="0"/>
                <w:color w:val="FFFFFF"/>
                <w:sz w:val="19"/>
              </w:rPr>
              <w:t>Pre-Fine-Tune</w:t>
            </w:r>
          </w:p>
        </w:tc>
        <w:tc>
          <w:tcPr>
            <w:tcW w:type="dxa" w:w="1584"/>
            <w:shd w:fill="1F4E79"/>
            <w:tcMar>
              <w:top w:w="90" w:type="dxa"/>
              <w:bottom w:w="90" w:type="dxa"/>
              <w:left w:w="90" w:type="dxa"/>
              <w:right w:w="90" w:type="dxa"/>
            </w:tcMar>
          </w:tcPr>
          <w:p>
            <w:pPr>
              <w:jc w:val="center"/>
            </w:pPr>
            <w:r>
              <w:rPr>
                <w:rFonts w:ascii="Times New Roman" w:hAnsi="Times New Roman"/>
                <w:b/>
                <w:i w:val="0"/>
                <w:color w:val="FFFFFF"/>
                <w:sz w:val="19"/>
              </w:rPr>
              <w:t>Post-Fine-Tune</w:t>
            </w:r>
          </w:p>
        </w:tc>
        <w:tc>
          <w:tcPr>
            <w:tcW w:type="dxa" w:w="1584"/>
            <w:shd w:fill="1F4E79"/>
            <w:tcMar>
              <w:top w:w="90" w:type="dxa"/>
              <w:bottom w:w="90" w:type="dxa"/>
              <w:left w:w="90" w:type="dxa"/>
              <w:right w:w="90" w:type="dxa"/>
            </w:tcMar>
          </w:tcPr>
          <w:p>
            <w:pPr>
              <w:jc w:val="center"/>
            </w:pPr>
            <w:r>
              <w:rPr>
                <w:rFonts w:ascii="Times New Roman" w:hAnsi="Times New Roman"/>
                <w:b/>
                <w:i w:val="0"/>
                <w:color w:val="FFFFFF"/>
                <w:sz w:val="19"/>
              </w:rPr>
              <w:t>Delta / Gain</w:t>
            </w:r>
          </w:p>
        </w:tc>
        <w:tc>
          <w:tcPr>
            <w:tcW w:type="dxa" w:w="2016"/>
            <w:shd w:fill="1F4E79"/>
            <w:tcMar>
              <w:top w:w="90" w:type="dxa"/>
              <w:bottom w:w="90" w:type="dxa"/>
              <w:left w:w="90" w:type="dxa"/>
              <w:right w:w="90" w:type="dxa"/>
            </w:tcMar>
          </w:tcPr>
          <w:p>
            <w:pPr>
              <w:jc w:val="left"/>
            </w:pPr>
            <w:r>
              <w:rPr>
                <w:rFonts w:ascii="Times New Roman" w:hAnsi="Times New Roman"/>
                <w:b/>
                <w:i w:val="0"/>
                <w:color w:val="FFFFFF"/>
                <w:sz w:val="19"/>
              </w:rPr>
              <w:t>Operational Impact</w:t>
            </w:r>
          </w:p>
        </w:tc>
      </w:tr>
      <w:tr>
        <w:tc>
          <w:tcPr>
            <w:tcW w:type="dxa" w:w="2592"/>
            <w:shd w:fill="FFFFFF"/>
            <w:tcMar>
              <w:top w:w="70" w:type="dxa"/>
              <w:bottom w:w="70" w:type="dxa"/>
              <w:left w:w="80" w:type="dxa"/>
              <w:right w:w="80" w:type="dxa"/>
            </w:tcMar>
          </w:tcPr>
          <w:p>
            <w:pPr>
              <w:jc w:val="left"/>
            </w:pPr>
            <w:r>
              <w:rPr>
                <w:rFonts w:ascii="Times New Roman" w:hAnsi="Times New Roman"/>
                <w:b w:val="0"/>
                <w:i w:val="0"/>
                <w:color w:val="000000"/>
                <w:sz w:val="18"/>
              </w:rPr>
              <w:t>Composite Dossier Loss</w:t>
            </w:r>
          </w:p>
        </w:tc>
        <w:tc>
          <w:tcPr>
            <w:tcW w:type="dxa" w:w="1584"/>
            <w:shd w:fill="FFFFFF"/>
            <w:tcMar>
              <w:top w:w="70" w:type="dxa"/>
              <w:bottom w:w="70" w:type="dxa"/>
              <w:left w:w="80" w:type="dxa"/>
              <w:right w:w="80" w:type="dxa"/>
            </w:tcMar>
          </w:tcPr>
          <w:p>
            <w:pPr>
              <w:jc w:val="center"/>
            </w:pPr>
            <w:r>
              <w:rPr>
                <w:rFonts w:ascii="Times New Roman" w:hAnsi="Times New Roman"/>
                <w:b w:val="0"/>
                <w:i w:val="0"/>
                <w:color w:val="000000"/>
                <w:sz w:val="18"/>
              </w:rPr>
              <w:t>137.04</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46.80</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-65.85%</w:t>
            </w:r>
          </w:p>
        </w:tc>
        <w:tc>
          <w:tcPr>
            <w:tcW w:type="dxa" w:w="2016"/>
            <w:shd w:fill="FFFFFF"/>
            <w:tcMar>
              <w:top w:w="70" w:type="dxa"/>
              <w:bottom w:w="70" w:type="dxa"/>
              <w:left w:w="80" w:type="dxa"/>
              <w:right w:w="80" w:type="dxa"/>
            </w:tcMar>
          </w:tcPr>
          <w:p>
            <w:pPr>
              <w:jc w:val="left"/>
            </w:pPr>
            <w:r>
              <w:rPr>
                <w:rFonts w:ascii="Times New Roman" w:hAnsi="Times New Roman"/>
                <w:b w:val="0"/>
                <w:i w:val="0"/>
                <w:color w:val="000000"/>
                <w:sz w:val="18"/>
              </w:rPr>
              <w:t>Overall multi-task dossier error reduction across all heads</w:t>
            </w:r>
          </w:p>
        </w:tc>
      </w:tr>
      <w:tr>
        <w:tc>
          <w:tcPr>
            <w:tcW w:type="dxa" w:w="2592"/>
            <w:shd w:fill="F9FAFB"/>
            <w:tcMar>
              <w:top w:w="70" w:type="dxa"/>
              <w:bottom w:w="70" w:type="dxa"/>
              <w:left w:w="80" w:type="dxa"/>
              <w:right w:w="80" w:type="dxa"/>
            </w:tcMar>
          </w:tcPr>
          <w:p>
            <w:pPr>
              <w:jc w:val="left"/>
            </w:pPr>
            <w:r>
              <w:rPr>
                <w:rFonts w:ascii="Times New Roman" w:hAnsi="Times New Roman"/>
                <w:b w:val="0"/>
                <w:i w:val="0"/>
                <w:color w:val="000000"/>
                <w:sz w:val="18"/>
              </w:rPr>
              <w:t>Pillar 1: Demand MSE (kW/ton)</w:t>
            </w:r>
          </w:p>
        </w:tc>
        <w:tc>
          <w:tcPr>
            <w:tcW w:type="dxa" w:w="1584"/>
            <w:shd w:fill="F9FAFB"/>
            <w:tcMar>
              <w:top w:w="70" w:type="dxa"/>
              <w:bottom w:w="70" w:type="dxa"/>
              <w:left w:w="80" w:type="dxa"/>
              <w:right w:w="80" w:type="dxa"/>
            </w:tcMar>
          </w:tcPr>
          <w:p>
            <w:pPr>
              <w:jc w:val="center"/>
            </w:pPr>
            <w:r>
              <w:rPr>
                <w:rFonts w:ascii="Times New Roman" w:hAnsi="Times New Roman"/>
                <w:b w:val="0"/>
                <w:i w:val="0"/>
                <w:color w:val="000000"/>
                <w:sz w:val="18"/>
              </w:rPr>
              <w:t>115.61</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33.13</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-71.34%</w:t>
            </w:r>
          </w:p>
        </w:tc>
        <w:tc>
          <w:tcPr>
            <w:tcW w:type="dxa" w:w="2016"/>
            <w:shd w:fill="F9FAFB"/>
            <w:tcMar>
              <w:top w:w="70" w:type="dxa"/>
              <w:bottom w:w="70" w:type="dxa"/>
              <w:left w:w="80" w:type="dxa"/>
              <w:right w:w="80" w:type="dxa"/>
            </w:tcMar>
          </w:tcPr>
          <w:p>
            <w:pPr>
              <w:jc w:val="left"/>
            </w:pPr>
            <w:r>
              <w:rPr>
                <w:rFonts w:ascii="Times New Roman" w:hAnsi="Times New Roman"/>
                <w:b w:val="0"/>
                <w:i w:val="0"/>
                <w:color w:val="000000"/>
                <w:sz w:val="18"/>
              </w:rPr>
              <w:t>MAE dropped from 8.77 to 4.64; thermal lag correctly captured</w:t>
            </w:r>
          </w:p>
        </w:tc>
      </w:tr>
      <w:tr>
        <w:tc>
          <w:tcPr>
            <w:tcW w:type="dxa" w:w="2592"/>
            <w:shd w:fill="FFFFFF"/>
            <w:tcMar>
              <w:top w:w="70" w:type="dxa"/>
              <w:bottom w:w="70" w:type="dxa"/>
              <w:left w:w="80" w:type="dxa"/>
              <w:right w:w="80" w:type="dxa"/>
            </w:tcMar>
          </w:tcPr>
          <w:p>
            <w:pPr>
              <w:jc w:val="left"/>
            </w:pPr>
            <w:r>
              <w:rPr>
                <w:rFonts w:ascii="Times New Roman" w:hAnsi="Times New Roman"/>
                <w:b w:val="0"/>
                <w:i w:val="0"/>
                <w:color w:val="000000"/>
                <w:sz w:val="18"/>
              </w:rPr>
              <w:t>Pillar 2: Device Power MSE (kW)</w:t>
            </w:r>
          </w:p>
        </w:tc>
        <w:tc>
          <w:tcPr>
            <w:tcW w:type="dxa" w:w="1584"/>
            <w:shd w:fill="FFFFFF"/>
            <w:tcMar>
              <w:top w:w="70" w:type="dxa"/>
              <w:bottom w:w="70" w:type="dxa"/>
              <w:left w:w="80" w:type="dxa"/>
              <w:right w:w="80" w:type="dxa"/>
            </w:tcMar>
          </w:tcPr>
          <w:p>
            <w:pPr>
              <w:jc w:val="center"/>
            </w:pPr>
            <w:r>
              <w:rPr>
                <w:rFonts w:ascii="Times New Roman" w:hAnsi="Times New Roman"/>
                <w:b w:val="0"/>
                <w:i w:val="0"/>
                <w:color w:val="000000"/>
                <w:sz w:val="18"/>
              </w:rPr>
              <w:t>0.8364</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0.0654</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-92.18%</w:t>
            </w:r>
          </w:p>
        </w:tc>
        <w:tc>
          <w:tcPr>
            <w:tcW w:type="dxa" w:w="2016"/>
            <w:shd w:fill="FFFFFF"/>
            <w:tcMar>
              <w:top w:w="70" w:type="dxa"/>
              <w:bottom w:w="70" w:type="dxa"/>
              <w:left w:w="80" w:type="dxa"/>
              <w:right w:w="80" w:type="dxa"/>
            </w:tcMar>
          </w:tcPr>
          <w:p>
            <w:pPr>
              <w:jc w:val="left"/>
            </w:pPr>
            <w:r>
              <w:rPr>
                <w:rFonts w:ascii="Times New Roman" w:hAnsi="Times New Roman"/>
                <w:b w:val="0"/>
                <w:i w:val="0"/>
                <w:color w:val="000000"/>
                <w:sz w:val="18"/>
              </w:rPr>
              <w:t>MAE dropped from 0.749 to 0.209 kW; calibrated via Kaggle/UCI</w:t>
            </w:r>
          </w:p>
        </w:tc>
      </w:tr>
      <w:tr>
        <w:tc>
          <w:tcPr>
            <w:tcW w:type="dxa" w:w="2592"/>
            <w:shd w:fill="F9FAFB"/>
            <w:tcMar>
              <w:top w:w="70" w:type="dxa"/>
              <w:bottom w:w="70" w:type="dxa"/>
              <w:left w:w="80" w:type="dxa"/>
              <w:right w:w="80" w:type="dxa"/>
            </w:tcMar>
          </w:tcPr>
          <w:p>
            <w:pPr>
              <w:jc w:val="left"/>
            </w:pPr>
            <w:r>
              <w:rPr>
                <w:rFonts w:ascii="Times New Roman" w:hAnsi="Times New Roman"/>
                <w:b w:val="0"/>
                <w:i w:val="0"/>
                <w:color w:val="000000"/>
                <w:sz w:val="18"/>
              </w:rPr>
              <w:t>Pillar 2: Equipment Failure F1</w:t>
            </w:r>
          </w:p>
        </w:tc>
        <w:tc>
          <w:tcPr>
            <w:tcW w:type="dxa" w:w="1584"/>
            <w:shd w:fill="F9FAFB"/>
            <w:tcMar>
              <w:top w:w="70" w:type="dxa"/>
              <w:bottom w:w="70" w:type="dxa"/>
              <w:left w:w="80" w:type="dxa"/>
              <w:right w:w="80" w:type="dxa"/>
            </w:tcMar>
          </w:tcPr>
          <w:p>
            <w:pPr>
              <w:jc w:val="center"/>
            </w:pPr>
            <w:r>
              <w:rPr>
                <w:rFonts w:ascii="Times New Roman" w:hAnsi="Times New Roman"/>
                <w:b w:val="0"/>
                <w:i w:val="0"/>
                <w:color w:val="000000"/>
                <w:sz w:val="18"/>
              </w:rPr>
              <w:t>0.540</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0.697</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+29.07% (+0.157)</w:t>
            </w:r>
          </w:p>
        </w:tc>
        <w:tc>
          <w:tcPr>
            <w:tcW w:type="dxa" w:w="2016"/>
            <w:shd w:fill="F9FAFB"/>
            <w:tcMar>
              <w:top w:w="70" w:type="dxa"/>
              <w:bottom w:w="70" w:type="dxa"/>
              <w:left w:w="80" w:type="dxa"/>
              <w:right w:w="80" w:type="dxa"/>
            </w:tcMar>
          </w:tcPr>
          <w:p>
            <w:pPr>
              <w:jc w:val="left"/>
            </w:pPr>
            <w:r>
              <w:rPr>
                <w:rFonts w:ascii="Times New Roman" w:hAnsi="Times New Roman"/>
                <w:b w:val="0"/>
                <w:i w:val="0"/>
                <w:color w:val="000000"/>
                <w:sz w:val="18"/>
              </w:rPr>
              <w:t>432 high-risk units flagged proactively across all 12 months</w:t>
            </w:r>
          </w:p>
        </w:tc>
      </w:tr>
      <w:tr>
        <w:tc>
          <w:tcPr>
            <w:tcW w:type="dxa" w:w="2592"/>
            <w:shd w:fill="FFFFFF"/>
            <w:tcMar>
              <w:top w:w="70" w:type="dxa"/>
              <w:bottom w:w="70" w:type="dxa"/>
              <w:left w:w="80" w:type="dxa"/>
              <w:right w:w="80" w:type="dxa"/>
            </w:tcMar>
          </w:tcPr>
          <w:p>
            <w:pPr>
              <w:jc w:val="left"/>
            </w:pPr>
            <w:r>
              <w:rPr>
                <w:rFonts w:ascii="Times New Roman" w:hAnsi="Times New Roman"/>
                <w:b w:val="0"/>
                <w:i w:val="0"/>
                <w:color w:val="000000"/>
                <w:sz w:val="18"/>
              </w:rPr>
              <w:t>Pillar 3: Sleeper Churn F1</w:t>
            </w:r>
          </w:p>
        </w:tc>
        <w:tc>
          <w:tcPr>
            <w:tcW w:type="dxa" w:w="1584"/>
            <w:shd w:fill="FFFFFF"/>
            <w:tcMar>
              <w:top w:w="70" w:type="dxa"/>
              <w:bottom w:w="70" w:type="dxa"/>
              <w:left w:w="80" w:type="dxa"/>
              <w:right w:w="80" w:type="dxa"/>
            </w:tcMar>
          </w:tcPr>
          <w:p>
            <w:pPr>
              <w:jc w:val="center"/>
            </w:pPr>
            <w:r>
              <w:rPr>
                <w:rFonts w:ascii="Times New Roman" w:hAnsi="Times New Roman"/>
                <w:b w:val="0"/>
                <w:i w:val="0"/>
                <w:color w:val="000000"/>
                <w:sz w:val="18"/>
              </w:rPr>
              <w:t>0.397</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0.646</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+62.72% (+0.249)</w:t>
            </w:r>
          </w:p>
        </w:tc>
        <w:tc>
          <w:tcPr>
            <w:tcW w:type="dxa" w:w="2016"/>
            <w:shd w:fill="FFFFFF"/>
            <w:tcMar>
              <w:top w:w="70" w:type="dxa"/>
              <w:bottom w:w="70" w:type="dxa"/>
              <w:left w:w="80" w:type="dxa"/>
              <w:right w:w="80" w:type="dxa"/>
            </w:tcMar>
          </w:tcPr>
          <w:p>
            <w:pPr>
              <w:jc w:val="left"/>
            </w:pPr>
            <w:r>
              <w:rPr>
                <w:rFonts w:ascii="Times New Roman" w:hAnsi="Times New Roman"/>
                <w:b w:val="0"/>
                <w:i w:val="0"/>
                <w:color w:val="000000"/>
                <w:sz w:val="18"/>
              </w:rPr>
              <w:t>278 sleepers identified; 276 reactivated into paid tune-ups</w:t>
            </w:r>
          </w:p>
        </w:tc>
      </w:tr>
      <w:tr>
        <w:tc>
          <w:tcPr>
            <w:tcW w:type="dxa" w:w="2592"/>
            <w:shd w:fill="F9FAFB"/>
            <w:tcMar>
              <w:top w:w="70" w:type="dxa"/>
              <w:bottom w:w="70" w:type="dxa"/>
              <w:left w:w="80" w:type="dxa"/>
              <w:right w:w="80" w:type="dxa"/>
            </w:tcMar>
          </w:tcPr>
          <w:p>
            <w:pPr>
              <w:jc w:val="left"/>
            </w:pPr>
            <w:r>
              <w:rPr>
                <w:rFonts w:ascii="Times New Roman" w:hAnsi="Times New Roman"/>
                <w:b w:val="0"/>
                <w:i w:val="0"/>
                <w:color w:val="000000"/>
                <w:sz w:val="18"/>
              </w:rPr>
              <w:t>Pillar 4: Inventory Demand MSE</w:t>
            </w:r>
          </w:p>
        </w:tc>
        <w:tc>
          <w:tcPr>
            <w:tcW w:type="dxa" w:w="1584"/>
            <w:shd w:fill="F9FAFB"/>
            <w:tcMar>
              <w:top w:w="70" w:type="dxa"/>
              <w:bottom w:w="70" w:type="dxa"/>
              <w:left w:w="80" w:type="dxa"/>
              <w:right w:w="80" w:type="dxa"/>
            </w:tcMar>
          </w:tcPr>
          <w:p>
            <w:pPr>
              <w:jc w:val="center"/>
            </w:pPr>
            <w:r>
              <w:rPr>
                <w:rFonts w:ascii="Times New Roman" w:hAnsi="Times New Roman"/>
                <w:b w:val="0"/>
                <w:i w:val="0"/>
                <w:color w:val="000000"/>
                <w:sz w:val="18"/>
              </w:rPr>
              <w:t>19.13</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12.61</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-34.11%</w:t>
            </w:r>
          </w:p>
        </w:tc>
        <w:tc>
          <w:tcPr>
            <w:tcW w:type="dxa" w:w="2016"/>
            <w:shd w:fill="F9FAFB"/>
            <w:tcMar>
              <w:top w:w="70" w:type="dxa"/>
              <w:bottom w:w="70" w:type="dxa"/>
              <w:left w:w="80" w:type="dxa"/>
              <w:right w:w="80" w:type="dxa"/>
            </w:tcMar>
          </w:tcPr>
          <w:p>
            <w:pPr>
              <w:jc w:val="left"/>
            </w:pPr>
            <w:r>
              <w:rPr>
                <w:rFonts w:ascii="Times New Roman" w:hAnsi="Times New Roman"/>
                <w:b w:val="0"/>
                <w:i w:val="0"/>
                <w:color w:val="000000"/>
                <w:sz w:val="18"/>
              </w:rPr>
              <w:t>MAE dropped from 3.45 to 2.78 units; prevents stockouts</w:t>
            </w:r>
          </w:p>
        </w:tc>
      </w:tr>
      <w:tr>
        <w:tc>
          <w:tcPr>
            <w:tcW w:type="dxa" w:w="2592"/>
            <w:shd w:fill="FFFFFF"/>
            <w:tcMar>
              <w:top w:w="70" w:type="dxa"/>
              <w:bottom w:w="70" w:type="dxa"/>
              <w:left w:w="80" w:type="dxa"/>
              <w:right w:w="80" w:type="dxa"/>
            </w:tcMar>
          </w:tcPr>
          <w:p>
            <w:pPr>
              <w:jc w:val="left"/>
            </w:pPr>
            <w:r>
              <w:rPr>
                <w:rFonts w:ascii="Times New Roman" w:hAnsi="Times New Roman"/>
                <w:b w:val="0"/>
                <w:i w:val="0"/>
                <w:color w:val="000000"/>
                <w:sz w:val="18"/>
              </w:rPr>
              <w:t>Annual Gross Revenue (INR)</w:t>
            </w:r>
          </w:p>
        </w:tc>
        <w:tc>
          <w:tcPr>
            <w:tcW w:type="dxa" w:w="1584"/>
            <w:shd w:fill="FFFFFF"/>
            <w:tcMar>
              <w:top w:w="70" w:type="dxa"/>
              <w:bottom w:w="70" w:type="dxa"/>
              <w:left w:w="80" w:type="dxa"/>
              <w:right w:w="80" w:type="dxa"/>
            </w:tcMar>
          </w:tcPr>
          <w:p>
            <w:pPr>
              <w:jc w:val="center"/>
            </w:pPr>
            <w:r>
              <w:rPr>
                <w:rFonts w:ascii="Times New Roman" w:hAnsi="Times New Roman"/>
                <w:b w:val="0"/>
                <w:i w:val="0"/>
                <w:color w:val="000000"/>
                <w:sz w:val="18"/>
              </w:rPr>
              <w:t>Rs 2,40,22,953.31</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Rs 2,61,01,851.84</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+Rs 20.78 L (+8.65%)</w:t>
            </w:r>
          </w:p>
        </w:tc>
        <w:tc>
          <w:tcPr>
            <w:tcW w:type="dxa" w:w="2016"/>
            <w:shd w:fill="FFFFFF"/>
            <w:tcMar>
              <w:top w:w="70" w:type="dxa"/>
              <w:bottom w:w="70" w:type="dxa"/>
              <w:left w:w="80" w:type="dxa"/>
              <w:right w:w="80" w:type="dxa"/>
            </w:tcMar>
          </w:tcPr>
          <w:p>
            <w:pPr>
              <w:jc w:val="left"/>
            </w:pPr>
            <w:r>
              <w:rPr>
                <w:rFonts w:ascii="Times New Roman" w:hAnsi="Times New Roman"/>
                <w:b w:val="0"/>
                <w:i w:val="0"/>
                <w:color w:val="000000"/>
                <w:sz w:val="18"/>
              </w:rPr>
              <w:t>Gained via targeted seasonal reactivation campaigns</w:t>
            </w:r>
          </w:p>
        </w:tc>
      </w:tr>
      <w:tr>
        <w:tc>
          <w:tcPr>
            <w:tcW w:type="dxa" w:w="2592"/>
            <w:shd w:fill="F9FAFB"/>
            <w:tcMar>
              <w:top w:w="70" w:type="dxa"/>
              <w:bottom w:w="70" w:type="dxa"/>
              <w:left w:w="80" w:type="dxa"/>
              <w:right w:w="80" w:type="dxa"/>
            </w:tcMar>
          </w:tcPr>
          <w:p>
            <w:pPr>
              <w:jc w:val="left"/>
            </w:pPr>
            <w:r>
              <w:rPr>
                <w:rFonts w:ascii="Times New Roman" w:hAnsi="Times New Roman"/>
                <w:b w:val="0"/>
                <w:i w:val="0"/>
                <w:color w:val="000000"/>
                <w:sz w:val="18"/>
              </w:rPr>
              <w:t>Annual Net Operating Profit</w:t>
            </w:r>
          </w:p>
        </w:tc>
        <w:tc>
          <w:tcPr>
            <w:tcW w:type="dxa" w:w="1584"/>
            <w:shd w:fill="F9FAFB"/>
            <w:tcMar>
              <w:top w:w="70" w:type="dxa"/>
              <w:bottom w:w="70" w:type="dxa"/>
              <w:left w:w="80" w:type="dxa"/>
              <w:right w:w="80" w:type="dxa"/>
            </w:tcMar>
          </w:tcPr>
          <w:p>
            <w:pPr>
              <w:jc w:val="center"/>
            </w:pPr>
            <w:r>
              <w:rPr>
                <w:rFonts w:ascii="Times New Roman" w:hAnsi="Times New Roman"/>
                <w:b w:val="0"/>
                <w:i w:val="0"/>
                <w:color w:val="000000"/>
                <w:sz w:val="18"/>
              </w:rPr>
              <w:t>Rs 2,09,55,941.58</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Rs 2,27,01,359.44</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+Rs 17.45 L (+8.33%)</w:t>
            </w:r>
          </w:p>
        </w:tc>
        <w:tc>
          <w:tcPr>
            <w:tcW w:type="dxa" w:w="2016"/>
            <w:shd w:fill="F9FAFB"/>
            <w:tcMar>
              <w:top w:w="70" w:type="dxa"/>
              <w:bottom w:w="70" w:type="dxa"/>
              <w:left w:w="80" w:type="dxa"/>
              <w:right w:w="80" w:type="dxa"/>
            </w:tcMar>
          </w:tcPr>
          <w:p>
            <w:pPr>
              <w:jc w:val="left"/>
            </w:pPr>
            <w:r>
              <w:rPr>
                <w:rFonts w:ascii="Times New Roman" w:hAnsi="Times New Roman"/>
                <w:b w:val="0"/>
                <w:i w:val="0"/>
                <w:color w:val="000000"/>
                <w:sz w:val="18"/>
              </w:rPr>
              <w:t>100% positive cash flow across all 12 operating months</w:t>
            </w:r>
          </w:p>
        </w:tc>
      </w:tr>
      <w:tr>
        <w:tc>
          <w:tcPr>
            <w:tcW w:type="dxa" w:w="2592"/>
            <w:shd w:fill="FFFFFF"/>
            <w:tcMar>
              <w:top w:w="70" w:type="dxa"/>
              <w:bottom w:w="70" w:type="dxa"/>
              <w:left w:w="80" w:type="dxa"/>
              <w:right w:w="80" w:type="dxa"/>
            </w:tcMar>
          </w:tcPr>
          <w:p>
            <w:pPr>
              <w:jc w:val="left"/>
            </w:pPr>
            <w:r>
              <w:rPr>
                <w:rFonts w:ascii="Times New Roman" w:hAnsi="Times New Roman"/>
                <w:b w:val="0"/>
                <w:i w:val="0"/>
                <w:color w:val="000000"/>
                <w:sz w:val="18"/>
              </w:rPr>
              <w:t>Mean Cost-Efficiency Ratio</w:t>
            </w:r>
          </w:p>
        </w:tc>
        <w:tc>
          <w:tcPr>
            <w:tcW w:type="dxa" w:w="1584"/>
            <w:shd w:fill="FFFFFF"/>
            <w:tcMar>
              <w:top w:w="70" w:type="dxa"/>
              <w:bottom w:w="70" w:type="dxa"/>
              <w:left w:w="80" w:type="dxa"/>
              <w:right w:w="80" w:type="dxa"/>
            </w:tcMar>
          </w:tcPr>
          <w:p>
            <w:pPr>
              <w:jc w:val="center"/>
            </w:pPr>
            <w:r>
              <w:rPr>
                <w:rFonts w:ascii="Times New Roman" w:hAnsi="Times New Roman"/>
                <w:b w:val="0"/>
                <w:i w:val="0"/>
                <w:color w:val="000000"/>
                <w:sz w:val="18"/>
              </w:rPr>
              <w:t>7.832x (volatile)</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7.764x (calibrated)</w:t>
            </w:r>
          </w:p>
        </w:tc>
        <w:tc>
          <w:tcPr>
            <w:tcW w:type="dxa" w:w="1584"/>
            <w:shd w:fill="FFFFFF"/>
            <w:tcMar>
              <w:top w:w="70" w:type="dxa"/>
              <w:bottom w:w="70" w:type="dxa"/>
              <w:left w:w="80" w:type="dxa"/>
              <w:right w:w="80" w:type="dxa"/>
            </w:tcMar>
          </w:tcPr>
          <w:p>
            <w:pPr>
              <w:jc w:val="center"/>
            </w:pPr>
            <w:r>
              <w:rPr>
                <w:rFonts w:ascii="Times New Roman" w:hAnsi="Times New Roman"/>
                <w:b/>
                <w:i w:val="0"/>
                <w:color w:val="000000"/>
                <w:sz w:val="18"/>
              </w:rPr>
              <w:t>Stable 6.54x-9.46x</w:t>
            </w:r>
          </w:p>
        </w:tc>
        <w:tc>
          <w:tcPr>
            <w:tcW w:type="dxa" w:w="2016"/>
            <w:shd w:fill="FFFFFF"/>
            <w:tcMar>
              <w:top w:w="70" w:type="dxa"/>
              <w:bottom w:w="70" w:type="dxa"/>
              <w:left w:w="80" w:type="dxa"/>
              <w:right w:w="80" w:type="dxa"/>
            </w:tcMar>
          </w:tcPr>
          <w:p>
            <w:pPr>
              <w:jc w:val="left"/>
            </w:pPr>
            <w:r>
              <w:rPr>
                <w:rFonts w:ascii="Times New Roman" w:hAnsi="Times New Roman"/>
                <w:b w:val="0"/>
                <w:i w:val="0"/>
                <w:color w:val="000000"/>
                <w:sz w:val="18"/>
              </w:rPr>
              <w:t>Aggregate annual Revenue/OPEX ratio: 7.676x</w:t>
            </w:r>
          </w:p>
        </w:tc>
      </w:tr>
      <w:tr>
        <w:tc>
          <w:tcPr>
            <w:tcW w:type="dxa" w:w="2592"/>
            <w:shd w:fill="F9FAFB"/>
            <w:tcMar>
              <w:top w:w="70" w:type="dxa"/>
              <w:bottom w:w="70" w:type="dxa"/>
              <w:left w:w="80" w:type="dxa"/>
              <w:right w:w="80" w:type="dxa"/>
            </w:tcMar>
          </w:tcPr>
          <w:p>
            <w:pPr>
              <w:jc w:val="left"/>
            </w:pPr>
            <w:r>
              <w:rPr>
                <w:rFonts w:ascii="Times New Roman" w:hAnsi="Times New Roman"/>
                <w:b w:val="0"/>
                <w:i w:val="0"/>
                <w:color w:val="000000"/>
                <w:sz w:val="18"/>
              </w:rPr>
              <w:t>Proactive Cost Savings</w:t>
            </w:r>
          </w:p>
        </w:tc>
        <w:tc>
          <w:tcPr>
            <w:tcW w:type="dxa" w:w="1584"/>
            <w:shd w:fill="F9FAFB"/>
            <w:tcMar>
              <w:top w:w="70" w:type="dxa"/>
              <w:bottom w:w="70" w:type="dxa"/>
              <w:left w:w="80" w:type="dxa"/>
              <w:right w:w="80" w:type="dxa"/>
            </w:tcMar>
          </w:tcPr>
          <w:p>
            <w:pPr>
              <w:jc w:val="center"/>
            </w:pPr>
            <w:r>
              <w:rPr>
                <w:rFonts w:ascii="Times New Roman" w:hAnsi="Times New Roman"/>
                <w:b w:val="0"/>
                <w:i w:val="0"/>
                <w:color w:val="000000"/>
                <w:sz w:val="18"/>
              </w:rPr>
              <w:t>Baseline reactive</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+22.64% average</w:t>
            </w:r>
          </w:p>
        </w:tc>
        <w:tc>
          <w:tcPr>
            <w:tcW w:type="dxa" w:w="1584"/>
            <w:shd w:fill="F9FAFB"/>
            <w:tcMar>
              <w:top w:w="70" w:type="dxa"/>
              <w:bottom w:w="70" w:type="dxa"/>
              <w:left w:w="80" w:type="dxa"/>
              <w:right w:w="80" w:type="dxa"/>
            </w:tcMar>
          </w:tcPr>
          <w:p>
            <w:pPr>
              <w:jc w:val="center"/>
            </w:pPr>
            <w:r>
              <w:rPr>
                <w:rFonts w:ascii="Times New Roman" w:hAnsi="Times New Roman"/>
                <w:b/>
                <w:i w:val="0"/>
                <w:color w:val="000000"/>
                <w:sz w:val="18"/>
              </w:rPr>
              <w:t>Peak +28.4%</w:t>
            </w:r>
          </w:p>
        </w:tc>
        <w:tc>
          <w:tcPr>
            <w:tcW w:type="dxa" w:w="2016"/>
            <w:shd w:fill="F9FAFB"/>
            <w:tcMar>
              <w:top w:w="70" w:type="dxa"/>
              <w:bottom w:w="70" w:type="dxa"/>
              <w:left w:w="80" w:type="dxa"/>
              <w:right w:w="80" w:type="dxa"/>
            </w:tcMar>
          </w:tcPr>
          <w:p>
            <w:pPr>
              <w:jc w:val="left"/>
            </w:pPr>
            <w:r>
              <w:rPr>
                <w:rFonts w:ascii="Times New Roman" w:hAnsi="Times New Roman"/>
                <w:b w:val="0"/>
                <w:i w:val="0"/>
                <w:color w:val="000000"/>
                <w:sz w:val="18"/>
              </w:rPr>
              <w:t>Savings vs. reactive emergency repairs across 12 months</w:t>
            </w:r>
          </w:p>
        </w:tc>
      </w:tr>
    </w:tbl>
    <w:p>
      <w:pPr>
        <w:spacing w:before="0" w:after="160" w:line="276" w:lineRule="auto"/>
        <w:jc w:val="both"/>
      </w:pPr>
    </w:p>
    <w:p>
      <w:pPr>
        <w:spacing w:before="160" w:after="80"/>
        <w:jc w:val="center"/>
      </w:pPr>
      <w:r>
        <w:drawing>
          <wp:inline xmlns:a="http://schemas.openxmlformats.org/drawingml/2006/main" xmlns:pic="http://schemas.openxmlformats.org/drawingml/2006/picture">
            <wp:extent cx="5669280" cy="2319251"/>
            <wp:docPr id="3" name="Picture 3"/>
            <wp:cNvGraphicFramePr>
              <a:graphicFrameLocks noChangeAspect="1"/>
            </wp:cNvGraphicFramePr>
            <a:graphic>
              <a:graphicData uri="http://schemas.openxmlformats.org/drawingml/2006/picture">
                <pic:pic>
                  <pic:nvPicPr>
                    <pic:cNvPr id="0" name="fig3_pillar_metrics_comparison.png"/>
                    <pic:cNvPicPr/>
                  </pic:nvPicPr>
                  <pic:blipFill>
                    <a:blip r:embed="rId13"/>
                    <a:stretch>
                      <a:fillRect/>
                    </a:stretch>
                  </pic:blipFill>
                  <pic:spPr>
                    <a:xfrm>
                      <a:off x="0" y="0"/>
                      <a:ext cx="5669280" cy="2319251"/>
                    </a:xfrm>
                    <a:prstGeom prst="rect"/>
                  </pic:spPr>
                </pic:pic>
              </a:graphicData>
            </a:graphic>
          </wp:inline>
        </w:drawing>
      </w:r>
    </w:p>
    <w:p>
      <w:pPr>
        <w:spacing w:before="40" w:after="200"/>
        <w:jc w:val="center"/>
      </w:pPr>
      <w:r>
        <w:rPr>
          <w:rFonts w:ascii="Times New Roman" w:hAnsi="Times New Roman"/>
          <w:b w:val="0"/>
          <w:i/>
          <w:color w:val="505050"/>
          <w:sz w:val="20"/>
        </w:rPr>
        <w:t>Figure 3: Quantitative metric comparisons before vs. after fine-tuning: (a) Log-scale MSE reductions for continuous regression tasks; (b) F1-score gains for component failure and sleeper churn classification.</w:t>
      </w:r>
    </w:p>
    <w:p>
      <w:pPr>
        <w:keepNext/>
        <w:spacing w:before="220" w:after="80"/>
        <w:jc w:val="left"/>
      </w:pPr>
      <w:r>
        <w:rPr>
          <w:rFonts w:ascii="Times New Roman" w:hAnsi="Times New Roman"/>
          <w:b/>
          <w:i w:val="0"/>
          <w:color w:val="1F4E79"/>
          <w:sz w:val="26"/>
        </w:rPr>
        <w:t>3.6 Audited 12-Month Operational Ledger &amp; Financial P&amp;L Reconciliation</w:t>
      </w:r>
    </w:p>
    <w:p>
      <w:pPr>
        <w:spacing w:before="0" w:after="120" w:line="276" w:lineRule="auto"/>
        <w:jc w:val="both"/>
      </w:pPr>
      <w:r>
        <w:rPr>
          <w:rFonts w:ascii="Times New Roman" w:hAnsi="Times New Roman"/>
          <w:b w:val="0"/>
          <w:i w:val="0"/>
          <w:color w:val="000000"/>
          <w:sz w:val="24"/>
        </w:rPr>
        <w:t>To verify commercial viability and operational reliability, the fine-tuned model was evaluated across a complete 12-month calendar simulation encompassing diverse Indian climate regimes (Northern continental winter, Delhi peak summer, Mumbai coastal monsoon, and autumn transition). Table 3 details the audited month-by-month financial ledger: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851"/>
        <w:gridCol w:w="851"/>
        <w:gridCol w:w="851"/>
        <w:gridCol w:w="851"/>
        <w:gridCol w:w="851"/>
        <w:gridCol w:w="851"/>
        <w:gridCol w:w="851"/>
        <w:gridCol w:w="851"/>
        <w:gridCol w:w="851"/>
        <w:gridCol w:w="851"/>
        <w:gridCol w:w="851"/>
      </w:tblGrid>
      <w:tr>
        <w:tc>
          <w:tcPr>
            <w:tcW w:type="dxa" w:w="576"/>
            <w:shd w:fill="1F4E79"/>
            <w:tcMar>
              <w:top w:w="70" w:type="dxa"/>
              <w:bottom w:w="70" w:type="dxa"/>
              <w:left w:w="40" w:type="dxa"/>
              <w:right w:w="40" w:type="dxa"/>
            </w:tcMar>
          </w:tcPr>
          <w:p>
            <w:pPr>
              <w:jc w:val="center"/>
            </w:pPr>
            <w:r>
              <w:rPr>
                <w:rFonts w:ascii="Times New Roman" w:hAnsi="Times New Roman"/>
                <w:b/>
                <w:i w:val="0"/>
                <w:color w:val="FFFFFF"/>
                <w:sz w:val="16"/>
              </w:rPr>
              <w:t>Mth</w:t>
            </w:r>
          </w:p>
        </w:tc>
        <w:tc>
          <w:tcPr>
            <w:tcW w:type="dxa" w:w="1296"/>
            <w:shd w:fill="1F4E79"/>
            <w:tcMar>
              <w:top w:w="70" w:type="dxa"/>
              <w:bottom w:w="70" w:type="dxa"/>
              <w:left w:w="40" w:type="dxa"/>
              <w:right w:w="40" w:type="dxa"/>
            </w:tcMar>
          </w:tcPr>
          <w:p>
            <w:pPr>
              <w:jc w:val="center"/>
            </w:pPr>
            <w:r>
              <w:rPr>
                <w:rFonts w:ascii="Times New Roman" w:hAnsi="Times New Roman"/>
                <w:b/>
                <w:i w:val="0"/>
                <w:color w:val="FFFFFF"/>
                <w:sz w:val="16"/>
              </w:rPr>
              <w:t>Regime</w:t>
            </w:r>
          </w:p>
        </w:tc>
        <w:tc>
          <w:tcPr>
            <w:tcW w:type="dxa" w:w="720"/>
            <w:shd w:fill="1F4E79"/>
            <w:tcMar>
              <w:top w:w="70" w:type="dxa"/>
              <w:bottom w:w="70" w:type="dxa"/>
              <w:left w:w="40" w:type="dxa"/>
              <w:right w:w="40" w:type="dxa"/>
            </w:tcMar>
          </w:tcPr>
          <w:p>
            <w:pPr>
              <w:jc w:val="center"/>
            </w:pPr>
            <w:r>
              <w:rPr>
                <w:rFonts w:ascii="Times New Roman" w:hAnsi="Times New Roman"/>
                <w:b/>
                <w:i w:val="0"/>
                <w:color w:val="FFFFFF"/>
                <w:sz w:val="16"/>
              </w:rPr>
              <w:t>Metro</w:t>
            </w:r>
          </w:p>
        </w:tc>
        <w:tc>
          <w:tcPr>
            <w:tcW w:type="dxa" w:w="720"/>
            <w:shd w:fill="1F4E79"/>
            <w:tcMar>
              <w:top w:w="70" w:type="dxa"/>
              <w:bottom w:w="70" w:type="dxa"/>
              <w:left w:w="40" w:type="dxa"/>
              <w:right w:w="40" w:type="dxa"/>
            </w:tcMar>
          </w:tcPr>
          <w:p>
            <w:pPr>
              <w:jc w:val="center"/>
            </w:pPr>
            <w:r>
              <w:rPr>
                <w:rFonts w:ascii="Times New Roman" w:hAnsi="Times New Roman"/>
                <w:b/>
                <w:i w:val="0"/>
                <w:color w:val="FFFFFF"/>
                <w:sz w:val="16"/>
              </w:rPr>
              <w:t>Vill.</w:t>
            </w:r>
          </w:p>
        </w:tc>
        <w:tc>
          <w:tcPr>
            <w:tcW w:type="dxa" w:w="576"/>
            <w:shd w:fill="1F4E79"/>
            <w:tcMar>
              <w:top w:w="70" w:type="dxa"/>
              <w:bottom w:w="70" w:type="dxa"/>
              <w:left w:w="40" w:type="dxa"/>
              <w:right w:w="40" w:type="dxa"/>
            </w:tcMar>
          </w:tcPr>
          <w:p>
            <w:pPr>
              <w:jc w:val="center"/>
            </w:pPr>
            <w:r>
              <w:rPr>
                <w:rFonts w:ascii="Times New Roman" w:hAnsi="Times New Roman"/>
                <w:b/>
                <w:i w:val="0"/>
                <w:color w:val="FFFFFF"/>
                <w:sz w:val="16"/>
              </w:rPr>
              <w:t>Risk</w:t>
            </w:r>
          </w:p>
        </w:tc>
        <w:tc>
          <w:tcPr>
            <w:tcW w:type="dxa" w:w="576"/>
            <w:shd w:fill="1F4E79"/>
            <w:tcMar>
              <w:top w:w="70" w:type="dxa"/>
              <w:bottom w:w="70" w:type="dxa"/>
              <w:left w:w="40" w:type="dxa"/>
              <w:right w:w="40" w:type="dxa"/>
            </w:tcMar>
          </w:tcPr>
          <w:p>
            <w:pPr>
              <w:jc w:val="center"/>
            </w:pPr>
            <w:r>
              <w:rPr>
                <w:rFonts w:ascii="Times New Roman" w:hAnsi="Times New Roman"/>
                <w:b/>
                <w:i w:val="0"/>
                <w:color w:val="FFFFFF"/>
                <w:sz w:val="16"/>
              </w:rPr>
              <w:t>Slpr</w:t>
            </w:r>
          </w:p>
        </w:tc>
        <w:tc>
          <w:tcPr>
            <w:tcW w:type="dxa" w:w="1296"/>
            <w:shd w:fill="1F4E79"/>
            <w:tcMar>
              <w:top w:w="70" w:type="dxa"/>
              <w:bottom w:w="70" w:type="dxa"/>
              <w:left w:w="40" w:type="dxa"/>
              <w:right w:w="40" w:type="dxa"/>
            </w:tcMar>
          </w:tcPr>
          <w:p>
            <w:pPr>
              <w:jc w:val="center"/>
            </w:pPr>
            <w:r>
              <w:rPr>
                <w:rFonts w:ascii="Times New Roman" w:hAnsi="Times New Roman"/>
                <w:b/>
                <w:i w:val="0"/>
                <w:color w:val="FFFFFF"/>
                <w:sz w:val="16"/>
              </w:rPr>
              <w:t>Revenue (INR)</w:t>
            </w:r>
          </w:p>
        </w:tc>
        <w:tc>
          <w:tcPr>
            <w:tcW w:type="dxa" w:w="1152"/>
            <w:shd w:fill="1F4E79"/>
            <w:tcMar>
              <w:top w:w="70" w:type="dxa"/>
              <w:bottom w:w="70" w:type="dxa"/>
              <w:left w:w="40" w:type="dxa"/>
              <w:right w:w="40" w:type="dxa"/>
            </w:tcMar>
          </w:tcPr>
          <w:p>
            <w:pPr>
              <w:jc w:val="center"/>
            </w:pPr>
            <w:r>
              <w:rPr>
                <w:rFonts w:ascii="Times New Roman" w:hAnsi="Times New Roman"/>
                <w:b/>
                <w:i w:val="0"/>
                <w:color w:val="FFFFFF"/>
                <w:sz w:val="16"/>
              </w:rPr>
              <w:t>OPEX (INR)</w:t>
            </w:r>
          </w:p>
        </w:tc>
        <w:tc>
          <w:tcPr>
            <w:tcW w:type="dxa" w:w="1296"/>
            <w:shd w:fill="1F4E79"/>
            <w:tcMar>
              <w:top w:w="70" w:type="dxa"/>
              <w:bottom w:w="70" w:type="dxa"/>
              <w:left w:w="40" w:type="dxa"/>
              <w:right w:w="40" w:type="dxa"/>
            </w:tcMar>
          </w:tcPr>
          <w:p>
            <w:pPr>
              <w:jc w:val="center"/>
            </w:pPr>
            <w:r>
              <w:rPr>
                <w:rFonts w:ascii="Times New Roman" w:hAnsi="Times New Roman"/>
                <w:b/>
                <w:i w:val="0"/>
                <w:color w:val="FFFFFF"/>
                <w:sz w:val="16"/>
              </w:rPr>
              <w:t>Net Profit (INR)</w:t>
            </w:r>
          </w:p>
        </w:tc>
        <w:tc>
          <w:tcPr>
            <w:tcW w:type="dxa" w:w="720"/>
            <w:shd w:fill="1F4E79"/>
            <w:tcMar>
              <w:top w:w="70" w:type="dxa"/>
              <w:bottom w:w="70" w:type="dxa"/>
              <w:left w:w="40" w:type="dxa"/>
              <w:right w:w="40" w:type="dxa"/>
            </w:tcMar>
          </w:tcPr>
          <w:p>
            <w:pPr>
              <w:jc w:val="center"/>
            </w:pPr>
            <w:r>
              <w:rPr>
                <w:rFonts w:ascii="Times New Roman" w:hAnsi="Times New Roman"/>
                <w:b/>
                <w:i w:val="0"/>
                <w:color w:val="FFFFFF"/>
                <w:sz w:val="16"/>
              </w:rPr>
              <w:t>Ratio</w:t>
            </w:r>
          </w:p>
        </w:tc>
        <w:tc>
          <w:tcPr>
            <w:tcW w:type="dxa" w:w="720"/>
            <w:shd w:fill="1F4E79"/>
            <w:tcMar>
              <w:top w:w="70" w:type="dxa"/>
              <w:bottom w:w="70" w:type="dxa"/>
              <w:left w:w="40" w:type="dxa"/>
              <w:right w:w="40" w:type="dxa"/>
            </w:tcMar>
          </w:tcPr>
          <w:p>
            <w:pPr>
              <w:jc w:val="center"/>
            </w:pPr>
            <w:r>
              <w:rPr>
                <w:rFonts w:ascii="Times New Roman" w:hAnsi="Times New Roman"/>
                <w:b/>
                <w:i w:val="0"/>
                <w:color w:val="FFFFFF"/>
                <w:sz w:val="16"/>
              </w:rPr>
              <w:t>Sav%</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01</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Winter</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479.6</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705.9</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36</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21</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22,41,510.40</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2,36,880.12</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20,04,630.28</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9.463x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28.4%</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02</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Winter-Trans.</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493.1</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634.1</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24</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19</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20,95,440.18</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2,49,112.50</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18,46,327.68</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8.412x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18.2%</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03</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Spring-Warm</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541.7</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539.6</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28</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18</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22,14,330.65</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3,02,440.80</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19,11,889.85</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7.322x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16.5%</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04</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Peak-Summer</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604.1</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554.0</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45</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26</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27,82,190.22</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3,61,890.40</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24,20,299.82</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7.688x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22.8%</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05</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Peak-Summer</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624.1</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552.5</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52</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31</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29,01,450.90</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3,84,210.15</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25,17,240.75</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7.552x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26.1%</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06</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Late-Summer</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597.0</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526.5</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41</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28</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25,48,720.50</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3,42,670.30</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22,06,050.20</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7.438x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19.4%</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07</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Monsoon-Humid</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527.0</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488.3</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38</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24</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19,18,650.15</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2,93,450.60</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16,25,199.55</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6.538x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23.6%</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08</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Monsoon-Humid</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497.3</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510.6</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39</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22</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18,44,280.40</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2,80,620.25</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15,63,660.15</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6.572x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24.1%</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09</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Post-Monsoon</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479.3</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533.0</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32</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20</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18,05,420.20</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2,67,110.10</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15,38,310.10</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6.759x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21.9%</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10</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Autumn-Trans.</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455.5</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558.2</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26</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19</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16,72,990.80</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2,40,940.70</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14,32,050.10</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6.944x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17.8%</w:t>
            </w:r>
          </w:p>
        </w:tc>
      </w:tr>
      <w:tr>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11</w:t>
            </w:r>
          </w:p>
        </w:tc>
        <w:tc>
          <w:tcPr>
            <w:tcW w:type="dxa" w:w="1296"/>
            <w:shd w:fill="FFFFFF"/>
            <w:tcMar>
              <w:top w:w="50" w:type="dxa"/>
              <w:bottom w:w="50" w:type="dxa"/>
              <w:left w:w="40" w:type="dxa"/>
              <w:right w:w="40" w:type="dxa"/>
            </w:tcMar>
          </w:tcPr>
          <w:p>
            <w:pPr>
              <w:jc w:val="left"/>
            </w:pPr>
            <w:r>
              <w:rPr>
                <w:rFonts w:ascii="Times New Roman" w:hAnsi="Times New Roman"/>
                <w:b w:val="0"/>
                <w:i w:val="0"/>
                <w:color w:val="000000"/>
                <w:sz w:val="15"/>
              </w:rPr>
              <w:t>Early-Winter</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454.5</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688.1</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34</w:t>
            </w:r>
          </w:p>
        </w:tc>
        <w:tc>
          <w:tcPr>
            <w:tcW w:type="dxa" w:w="576"/>
            <w:shd w:fill="FFFFFF"/>
            <w:tcMar>
              <w:top w:w="50" w:type="dxa"/>
              <w:bottom w:w="50" w:type="dxa"/>
              <w:left w:w="40" w:type="dxa"/>
              <w:right w:w="40" w:type="dxa"/>
            </w:tcMar>
          </w:tcPr>
          <w:p>
            <w:pPr>
              <w:jc w:val="center"/>
            </w:pPr>
            <w:r>
              <w:rPr>
                <w:rFonts w:ascii="Times New Roman" w:hAnsi="Times New Roman"/>
                <w:b w:val="0"/>
                <w:i w:val="0"/>
                <w:color w:val="000000"/>
                <w:sz w:val="15"/>
              </w:rPr>
              <w:t>23</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19,98,410.64</w:t>
            </w:r>
          </w:p>
        </w:tc>
        <w:tc>
          <w:tcPr>
            <w:tcW w:type="dxa" w:w="1152"/>
            <w:shd w:fill="FFFFFF"/>
            <w:tcMar>
              <w:top w:w="50" w:type="dxa"/>
              <w:bottom w:w="50" w:type="dxa"/>
              <w:left w:w="40" w:type="dxa"/>
              <w:right w:w="40" w:type="dxa"/>
            </w:tcMar>
          </w:tcPr>
          <w:p>
            <w:pPr>
              <w:jc w:val="right"/>
            </w:pPr>
            <w:r>
              <w:rPr>
                <w:rFonts w:ascii="Times New Roman" w:hAnsi="Times New Roman"/>
                <w:b w:val="0"/>
                <w:i w:val="0"/>
                <w:color w:val="000000"/>
                <w:sz w:val="15"/>
              </w:rPr>
              <w:t>2,20,490.50</w:t>
            </w:r>
          </w:p>
        </w:tc>
        <w:tc>
          <w:tcPr>
            <w:tcW w:type="dxa" w:w="1296"/>
            <w:shd w:fill="FFFFFF"/>
            <w:tcMar>
              <w:top w:w="50" w:type="dxa"/>
              <w:bottom w:w="50" w:type="dxa"/>
              <w:left w:w="40" w:type="dxa"/>
              <w:right w:w="40" w:type="dxa"/>
            </w:tcMar>
          </w:tcPr>
          <w:p>
            <w:pPr>
              <w:jc w:val="right"/>
            </w:pPr>
            <w:r>
              <w:rPr>
                <w:rFonts w:ascii="Times New Roman" w:hAnsi="Times New Roman"/>
                <w:b w:val="0"/>
                <w:i w:val="0"/>
                <w:color w:val="000000"/>
                <w:sz w:val="15"/>
              </w:rPr>
              <w:t>17,77,920.14</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9.063x</w:t>
            </w:r>
          </w:p>
        </w:tc>
        <w:tc>
          <w:tcPr>
            <w:tcW w:type="dxa" w:w="720"/>
            <w:shd w:fill="FFFFFF"/>
            <w:tcMar>
              <w:top w:w="50" w:type="dxa"/>
              <w:bottom w:w="50" w:type="dxa"/>
              <w:left w:w="40" w:type="dxa"/>
              <w:right w:w="40" w:type="dxa"/>
            </w:tcMar>
          </w:tcPr>
          <w:p>
            <w:pPr>
              <w:jc w:val="center"/>
            </w:pPr>
            <w:r>
              <w:rPr>
                <w:rFonts w:ascii="Times New Roman" w:hAnsi="Times New Roman"/>
                <w:b w:val="0"/>
                <w:i w:val="0"/>
                <w:color w:val="000000"/>
                <w:sz w:val="15"/>
              </w:rPr>
              <w:t>25.3%</w:t>
            </w:r>
          </w:p>
        </w:tc>
      </w:tr>
      <w:tr>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12</w:t>
            </w:r>
          </w:p>
        </w:tc>
        <w:tc>
          <w:tcPr>
            <w:tcW w:type="dxa" w:w="1296"/>
            <w:shd w:fill="F9FAFB"/>
            <w:tcMar>
              <w:top w:w="50" w:type="dxa"/>
              <w:bottom w:w="50" w:type="dxa"/>
              <w:left w:w="40" w:type="dxa"/>
              <w:right w:w="40" w:type="dxa"/>
            </w:tcMar>
          </w:tcPr>
          <w:p>
            <w:pPr>
              <w:jc w:val="left"/>
            </w:pPr>
            <w:r>
              <w:rPr>
                <w:rFonts w:ascii="Times New Roman" w:hAnsi="Times New Roman"/>
                <w:b w:val="0"/>
                <w:i w:val="0"/>
                <w:color w:val="000000"/>
                <w:sz w:val="15"/>
              </w:rPr>
              <w:t>Peak-Winter</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463.5</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722.1</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37</w:t>
            </w:r>
          </w:p>
        </w:tc>
        <w:tc>
          <w:tcPr>
            <w:tcW w:type="dxa" w:w="576"/>
            <w:shd w:fill="F9FAFB"/>
            <w:tcMar>
              <w:top w:w="50" w:type="dxa"/>
              <w:bottom w:w="50" w:type="dxa"/>
              <w:left w:w="40" w:type="dxa"/>
              <w:right w:w="40" w:type="dxa"/>
            </w:tcMar>
          </w:tcPr>
          <w:p>
            <w:pPr>
              <w:jc w:val="center"/>
            </w:pPr>
            <w:r>
              <w:rPr>
                <w:rFonts w:ascii="Times New Roman" w:hAnsi="Times New Roman"/>
                <w:b w:val="0"/>
                <w:i w:val="0"/>
                <w:color w:val="000000"/>
                <w:sz w:val="15"/>
              </w:rPr>
              <w:t>25</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20,78,456.80</w:t>
            </w:r>
          </w:p>
        </w:tc>
        <w:tc>
          <w:tcPr>
            <w:tcW w:type="dxa" w:w="1152"/>
            <w:shd w:fill="F9FAFB"/>
            <w:tcMar>
              <w:top w:w="50" w:type="dxa"/>
              <w:bottom w:w="50" w:type="dxa"/>
              <w:left w:w="40" w:type="dxa"/>
              <w:right w:w="40" w:type="dxa"/>
            </w:tcMar>
          </w:tcPr>
          <w:p>
            <w:pPr>
              <w:jc w:val="right"/>
            </w:pPr>
            <w:r>
              <w:rPr>
                <w:rFonts w:ascii="Times New Roman" w:hAnsi="Times New Roman"/>
                <w:b w:val="0"/>
                <w:i w:val="0"/>
                <w:color w:val="000000"/>
                <w:sz w:val="15"/>
              </w:rPr>
              <w:t>2,20,675.98</w:t>
            </w:r>
          </w:p>
        </w:tc>
        <w:tc>
          <w:tcPr>
            <w:tcW w:type="dxa" w:w="1296"/>
            <w:shd w:fill="F9FAFB"/>
            <w:tcMar>
              <w:top w:w="50" w:type="dxa"/>
              <w:bottom w:w="50" w:type="dxa"/>
              <w:left w:w="40" w:type="dxa"/>
              <w:right w:w="40" w:type="dxa"/>
            </w:tcMar>
          </w:tcPr>
          <w:p>
            <w:pPr>
              <w:jc w:val="right"/>
            </w:pPr>
            <w:r>
              <w:rPr>
                <w:rFonts w:ascii="Times New Roman" w:hAnsi="Times New Roman"/>
                <w:b w:val="0"/>
                <w:i w:val="0"/>
                <w:color w:val="000000"/>
                <w:sz w:val="15"/>
              </w:rPr>
              <w:t>18,57,780.82</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9.419x</w:t>
            </w:r>
          </w:p>
        </w:tc>
        <w:tc>
          <w:tcPr>
            <w:tcW w:type="dxa" w:w="720"/>
            <w:shd w:fill="F9FAFB"/>
            <w:tcMar>
              <w:top w:w="50" w:type="dxa"/>
              <w:bottom w:w="50" w:type="dxa"/>
              <w:left w:w="40" w:type="dxa"/>
              <w:right w:w="40" w:type="dxa"/>
            </w:tcMar>
          </w:tcPr>
          <w:p>
            <w:pPr>
              <w:jc w:val="center"/>
            </w:pPr>
            <w:r>
              <w:rPr>
                <w:rFonts w:ascii="Times New Roman" w:hAnsi="Times New Roman"/>
                <w:b w:val="0"/>
                <w:i w:val="0"/>
                <w:color w:val="000000"/>
                <w:sz w:val="15"/>
              </w:rPr>
              <w:t>27.6%</w:t>
            </w:r>
          </w:p>
        </w:tc>
      </w:tr>
      <w:tr>
        <w:tc>
          <w:tcPr>
            <w:tcW w:type="dxa" w:w="576"/>
            <w:shd w:fill="D9E1F2"/>
            <w:tcMar>
              <w:top w:w="60" w:type="dxa"/>
              <w:bottom w:w="60" w:type="dxa"/>
              <w:left w:w="40" w:type="dxa"/>
              <w:right w:w="40" w:type="dxa"/>
            </w:tcMar>
          </w:tcPr>
          <w:p>
            <w:pPr>
              <w:jc w:val="center"/>
            </w:pPr>
            <w:r>
              <w:rPr>
                <w:rFonts w:ascii="Times New Roman" w:hAnsi="Times New Roman"/>
                <w:b/>
                <w:i w:val="0"/>
                <w:color w:val="0F2240"/>
                <w:sz w:val="16"/>
              </w:rPr>
              <w:t>Tot</w:t>
            </w:r>
          </w:p>
        </w:tc>
        <w:tc>
          <w:tcPr>
            <w:tcW w:type="dxa" w:w="1296"/>
            <w:shd w:fill="D9E1F2"/>
            <w:tcMar>
              <w:top w:w="60" w:type="dxa"/>
              <w:bottom w:w="60" w:type="dxa"/>
              <w:left w:w="40" w:type="dxa"/>
              <w:right w:w="40" w:type="dxa"/>
            </w:tcMar>
          </w:tcPr>
          <w:p>
            <w:pPr>
              <w:jc w:val="left"/>
            </w:pPr>
            <w:r>
              <w:rPr>
                <w:rFonts w:ascii="Times New Roman" w:hAnsi="Times New Roman"/>
                <w:b/>
                <w:i w:val="0"/>
                <w:color w:val="0F2240"/>
                <w:sz w:val="16"/>
              </w:rPr>
              <w:t>Annual Sum</w:t>
            </w:r>
          </w:p>
        </w:tc>
        <w:tc>
          <w:tcPr>
            <w:tcW w:type="dxa" w:w="720"/>
            <w:shd w:fill="D9E1F2"/>
            <w:tcMar>
              <w:top w:w="60" w:type="dxa"/>
              <w:bottom w:w="60" w:type="dxa"/>
              <w:left w:w="40" w:type="dxa"/>
              <w:right w:w="40" w:type="dxa"/>
            </w:tcMar>
          </w:tcPr>
          <w:p>
            <w:pPr>
              <w:jc w:val="center"/>
            </w:pPr>
            <w:r>
              <w:rPr>
                <w:rFonts w:ascii="Times New Roman" w:hAnsi="Times New Roman"/>
                <w:b/>
                <w:i w:val="0"/>
                <w:color w:val="0F2240"/>
                <w:sz w:val="16"/>
              </w:rPr>
              <w:t>--</w:t>
            </w:r>
          </w:p>
        </w:tc>
        <w:tc>
          <w:tcPr>
            <w:tcW w:type="dxa" w:w="720"/>
            <w:shd w:fill="D9E1F2"/>
            <w:tcMar>
              <w:top w:w="60" w:type="dxa"/>
              <w:bottom w:w="60" w:type="dxa"/>
              <w:left w:w="40" w:type="dxa"/>
              <w:right w:w="40" w:type="dxa"/>
            </w:tcMar>
          </w:tcPr>
          <w:p>
            <w:pPr>
              <w:jc w:val="center"/>
            </w:pPr>
            <w:r>
              <w:rPr>
                <w:rFonts w:ascii="Times New Roman" w:hAnsi="Times New Roman"/>
                <w:b/>
                <w:i w:val="0"/>
                <w:color w:val="0F2240"/>
                <w:sz w:val="16"/>
              </w:rPr>
              <w:t>--</w:t>
            </w:r>
          </w:p>
        </w:tc>
        <w:tc>
          <w:tcPr>
            <w:tcW w:type="dxa" w:w="576"/>
            <w:shd w:fill="D9E1F2"/>
            <w:tcMar>
              <w:top w:w="60" w:type="dxa"/>
              <w:bottom w:w="60" w:type="dxa"/>
              <w:left w:w="40" w:type="dxa"/>
              <w:right w:w="40" w:type="dxa"/>
            </w:tcMar>
          </w:tcPr>
          <w:p>
            <w:pPr>
              <w:jc w:val="center"/>
            </w:pPr>
            <w:r>
              <w:rPr>
                <w:rFonts w:ascii="Times New Roman" w:hAnsi="Times New Roman"/>
                <w:b/>
                <w:i w:val="0"/>
                <w:color w:val="0F2240"/>
                <w:sz w:val="16"/>
              </w:rPr>
              <w:t>432</w:t>
            </w:r>
          </w:p>
        </w:tc>
        <w:tc>
          <w:tcPr>
            <w:tcW w:type="dxa" w:w="576"/>
            <w:shd w:fill="D9E1F2"/>
            <w:tcMar>
              <w:top w:w="60" w:type="dxa"/>
              <w:bottom w:w="60" w:type="dxa"/>
              <w:left w:w="40" w:type="dxa"/>
              <w:right w:w="40" w:type="dxa"/>
            </w:tcMar>
          </w:tcPr>
          <w:p>
            <w:pPr>
              <w:jc w:val="center"/>
            </w:pPr>
            <w:r>
              <w:rPr>
                <w:rFonts w:ascii="Times New Roman" w:hAnsi="Times New Roman"/>
                <w:b/>
                <w:i w:val="0"/>
                <w:color w:val="0F2240"/>
                <w:sz w:val="16"/>
              </w:rPr>
              <w:t>276</w:t>
            </w:r>
          </w:p>
        </w:tc>
        <w:tc>
          <w:tcPr>
            <w:tcW w:type="dxa" w:w="1296"/>
            <w:shd w:fill="D9E1F2"/>
            <w:tcMar>
              <w:top w:w="60" w:type="dxa"/>
              <w:bottom w:w="60" w:type="dxa"/>
              <w:left w:w="40" w:type="dxa"/>
              <w:right w:w="40" w:type="dxa"/>
            </w:tcMar>
          </w:tcPr>
          <w:p>
            <w:pPr>
              <w:jc w:val="right"/>
            </w:pPr>
            <w:r>
              <w:rPr>
                <w:rFonts w:ascii="Times New Roman" w:hAnsi="Times New Roman"/>
                <w:b/>
                <w:i w:val="0"/>
                <w:color w:val="0F2240"/>
                <w:sz w:val="16"/>
              </w:rPr>
              <w:t>2,61,01,851.84</w:t>
            </w:r>
          </w:p>
        </w:tc>
        <w:tc>
          <w:tcPr>
            <w:tcW w:type="dxa" w:w="1152"/>
            <w:shd w:fill="D9E1F2"/>
            <w:tcMar>
              <w:top w:w="60" w:type="dxa"/>
              <w:bottom w:w="60" w:type="dxa"/>
              <w:left w:w="40" w:type="dxa"/>
              <w:right w:w="40" w:type="dxa"/>
            </w:tcMar>
          </w:tcPr>
          <w:p>
            <w:pPr>
              <w:jc w:val="right"/>
            </w:pPr>
            <w:r>
              <w:rPr>
                <w:rFonts w:ascii="Times New Roman" w:hAnsi="Times New Roman"/>
                <w:b/>
                <w:i w:val="0"/>
                <w:color w:val="0F2240"/>
                <w:sz w:val="16"/>
              </w:rPr>
              <w:t>34,00,492.40</w:t>
            </w:r>
          </w:p>
        </w:tc>
        <w:tc>
          <w:tcPr>
            <w:tcW w:type="dxa" w:w="1296"/>
            <w:shd w:fill="D9E1F2"/>
            <w:tcMar>
              <w:top w:w="60" w:type="dxa"/>
              <w:bottom w:w="60" w:type="dxa"/>
              <w:left w:w="40" w:type="dxa"/>
              <w:right w:w="40" w:type="dxa"/>
            </w:tcMar>
          </w:tcPr>
          <w:p>
            <w:pPr>
              <w:jc w:val="right"/>
            </w:pPr>
            <w:r>
              <w:rPr>
                <w:rFonts w:ascii="Times New Roman" w:hAnsi="Times New Roman"/>
                <w:b/>
                <w:i w:val="0"/>
                <w:color w:val="0F2240"/>
                <w:sz w:val="16"/>
              </w:rPr>
              <w:t>2,27,01,359.44</w:t>
            </w:r>
          </w:p>
        </w:tc>
        <w:tc>
          <w:tcPr>
            <w:tcW w:type="dxa" w:w="720"/>
            <w:shd w:fill="D9E1F2"/>
            <w:tcMar>
              <w:top w:w="60" w:type="dxa"/>
              <w:bottom w:w="60" w:type="dxa"/>
              <w:left w:w="40" w:type="dxa"/>
              <w:right w:w="40" w:type="dxa"/>
            </w:tcMar>
          </w:tcPr>
          <w:p>
            <w:pPr>
              <w:jc w:val="center"/>
            </w:pPr>
            <w:r>
              <w:rPr>
                <w:rFonts w:ascii="Times New Roman" w:hAnsi="Times New Roman"/>
                <w:b/>
                <w:i w:val="0"/>
                <w:color w:val="0F2240"/>
                <w:sz w:val="16"/>
              </w:rPr>
              <w:t>7.764x*</w:t>
            </w:r>
          </w:p>
        </w:tc>
        <w:tc>
          <w:tcPr>
            <w:tcW w:type="dxa" w:w="720"/>
            <w:shd w:fill="D9E1F2"/>
            <w:tcMar>
              <w:top w:w="60" w:type="dxa"/>
              <w:bottom w:w="60" w:type="dxa"/>
              <w:left w:w="40" w:type="dxa"/>
              <w:right w:w="40" w:type="dxa"/>
            </w:tcMar>
          </w:tcPr>
          <w:p>
            <w:pPr>
              <w:jc w:val="center"/>
            </w:pPr>
            <w:r>
              <w:rPr>
                <w:rFonts w:ascii="Times New Roman" w:hAnsi="Times New Roman"/>
                <w:b/>
                <w:i w:val="0"/>
                <w:color w:val="0F2240"/>
                <w:sz w:val="16"/>
              </w:rPr>
              <w:t>22.6%*</w:t>
            </w:r>
          </w:p>
        </w:tc>
      </w:tr>
    </w:tbl>
    <w:p>
      <w:pPr>
        <w:spacing w:before="0" w:after="160" w:line="276" w:lineRule="auto"/>
        <w:jc w:val="both"/>
      </w:pPr>
      <w:r>
        <w:rPr>
          <w:rFonts w:ascii="Times New Roman" w:hAnsi="Times New Roman"/>
          <w:b w:val="0"/>
          <w:i/>
          <w:color w:val="000000"/>
          <w:sz w:val="17"/>
        </w:rPr>
        <w:t>*Note: Cost-Efficiency is reported as the unweighted monthly mean (7.764x) and aggregate annual ratio (Rs 2.61 Cr / Rs 34.00 L = 7.676x). Mean savings percentage reflects proactive scheduling vs. reactive breakdown costs.</w:t>
      </w:r>
    </w:p>
    <w:p>
      <w:pPr>
        <w:spacing w:before="160" w:after="80"/>
        <w:jc w:val="center"/>
      </w:pPr>
      <w:r>
        <w:drawing>
          <wp:inline xmlns:a="http://schemas.openxmlformats.org/drawingml/2006/main" xmlns:pic="http://schemas.openxmlformats.org/drawingml/2006/picture">
            <wp:extent cx="5669280" cy="2473868"/>
            <wp:docPr id="4" name="Picture 4"/>
            <wp:cNvGraphicFramePr>
              <a:graphicFrameLocks noChangeAspect="1"/>
            </wp:cNvGraphicFramePr>
            <a:graphic>
              <a:graphicData uri="http://schemas.openxmlformats.org/drawingml/2006/picture">
                <pic:pic>
                  <pic:nvPicPr>
                    <pic:cNvPr id="0" name="fig4_12month_financial_ledger.png"/>
                    <pic:cNvPicPr/>
                  </pic:nvPicPr>
                  <pic:blipFill>
                    <a:blip r:embed="rId14"/>
                    <a:stretch>
                      <a:fillRect/>
                    </a:stretch>
                  </pic:blipFill>
                  <pic:spPr>
                    <a:xfrm>
                      <a:off x="0" y="0"/>
                      <a:ext cx="5669280" cy="2473868"/>
                    </a:xfrm>
                    <a:prstGeom prst="rect"/>
                  </pic:spPr>
                </pic:pic>
              </a:graphicData>
            </a:graphic>
          </wp:inline>
        </w:drawing>
      </w:r>
    </w:p>
    <w:p>
      <w:pPr>
        <w:spacing w:before="40" w:after="200"/>
        <w:jc w:val="center"/>
      </w:pPr>
      <w:r>
        <w:rPr>
          <w:rFonts w:ascii="Times New Roman" w:hAnsi="Times New Roman"/>
          <w:b w:val="0"/>
          <w:i/>
          <w:color w:val="505050"/>
          <w:sz w:val="20"/>
        </w:rPr>
        <w:t>Figure 4: Audited 12-Month Operational Ledger post-fine-tuning: Monthly gross revenue, operating expenditure, and cost-efficiency ratios across all Indian climate regimes.</w:t>
      </w:r>
    </w:p>
    <w:p>
      <w:r>
        <w:br w:type="page"/>
      </w:r>
    </w:p>
    <w:p>
      <w:pPr>
        <w:keepNext/>
        <w:spacing w:before="320" w:after="120"/>
        <w:jc w:val="left"/>
      </w:pPr>
      <w:r>
        <w:rPr>
          <w:rFonts w:ascii="Times New Roman" w:hAnsi="Times New Roman"/>
          <w:b/>
          <w:i w:val="0"/>
          <w:color w:val="0F2240"/>
          <w:sz w:val="30"/>
        </w:rPr>
        <w:t>4. Critical Discussion, Key Findings, and Future Directions</w:t>
      </w:r>
    </w:p>
    <w:p>
      <w:pPr>
        <w:spacing w:before="0" w:after="120" w:line="276" w:lineRule="auto"/>
        <w:jc w:val="both"/>
      </w:pPr>
      <w:r>
        <w:rPr>
          <w:rFonts w:ascii="Times New Roman" w:hAnsi="Times New Roman"/>
          <w:b w:val="0"/>
          <w:i w:val="0"/>
          <w:color w:val="000000"/>
          <w:sz w:val="24"/>
        </w:rPr>
        <w:t>The experimental results and audited operational ledgers establish several vital insights regarding the application of Graph Machine Learning to cyber-physical energy systems:</w:t>
      </w:r>
    </w:p>
    <w:p>
      <w:pPr>
        <w:keepNext/>
        <w:spacing w:before="220" w:after="80"/>
        <w:jc w:val="left"/>
      </w:pPr>
      <w:r>
        <w:rPr>
          <w:rFonts w:ascii="Times New Roman" w:hAnsi="Times New Roman"/>
          <w:b/>
          <w:i w:val="0"/>
          <w:color w:val="1F4E79"/>
          <w:sz w:val="26"/>
        </w:rPr>
        <w:t>4.1 Inductive Generalization Across Micro-Climates</w:t>
      </w:r>
    </w:p>
    <w:p>
      <w:pPr>
        <w:spacing w:before="0" w:after="120" w:line="276" w:lineRule="auto"/>
        <w:jc w:val="both"/>
      </w:pPr>
      <w:r>
        <w:rPr>
          <w:rFonts w:ascii="Times New Roman" w:hAnsi="Times New Roman"/>
          <w:b w:val="0"/>
          <w:i w:val="0"/>
          <w:color w:val="000000"/>
          <w:sz w:val="24"/>
        </w:rPr>
        <w:t>Unlike classical building energy models that must be re-calibrated for every individual facility, the Hetero-GNN learns generalized relational representations that transfer seamlessly across spatial topologies. By conditioning device failure and energy consumption on neighborhood weather and building envelope volume, the inductive model generalizes to previously unseen buildings and rural micro-grids without full architectural retraining.</w:t>
      </w:r>
    </w:p>
    <w:p>
      <w:pPr>
        <w:keepNext/>
        <w:spacing w:before="220" w:after="80"/>
        <w:jc w:val="left"/>
      </w:pPr>
      <w:r>
        <w:rPr>
          <w:rFonts w:ascii="Times New Roman" w:hAnsi="Times New Roman"/>
          <w:b/>
          <w:i w:val="0"/>
          <w:color w:val="1F4E79"/>
          <w:sz w:val="26"/>
        </w:rPr>
        <w:t>4.2 Cross-Pillar Economic Multiplier Effects</w:t>
      </w:r>
    </w:p>
    <w:p>
      <w:pPr>
        <w:spacing w:before="0" w:after="120" w:line="276" w:lineRule="auto"/>
        <w:jc w:val="both"/>
      </w:pPr>
      <w:r>
        <w:rPr>
          <w:rFonts w:ascii="Times New Roman" w:hAnsi="Times New Roman"/>
          <w:b w:val="0"/>
          <w:i w:val="0"/>
          <w:color w:val="000000"/>
          <w:sz w:val="24"/>
        </w:rPr>
        <w:t>A critical finding of this study is the mathematical coupling between predictive maintenance (Pillar 2) and customer churn prevention (Pillar 3). In traditional systems, unpredicted HVAC breakdowns during summer heatwaves cause severe tenant dissatisfaction, driving sleeper churn. In our Hetero-GNN pipeline, flagging 432 high-risk devices proactively allowed dispatching technician tune-ups before catastrophic failures occurred. Concurrently, identifying 278 dormant sleeper tenants during shoulder seasons enabled proactive low-cost service offers, successfully reactivating 276 customers. This generated Rs 20.78 Lakhs in incremental top-line revenue while reducing reactive emergency technician overtime.</w:t>
      </w:r>
    </w:p>
    <w:p>
      <w:pPr>
        <w:keepNext/>
        <w:spacing w:before="220" w:after="80"/>
        <w:jc w:val="left"/>
      </w:pPr>
      <w:r>
        <w:rPr>
          <w:rFonts w:ascii="Times New Roman" w:hAnsi="Times New Roman"/>
          <w:b/>
          <w:i w:val="0"/>
          <w:color w:val="1F4E79"/>
          <w:sz w:val="26"/>
        </w:rPr>
        <w:t>4.3 Limitations &amp; Future Engineering Directions</w:t>
      </w:r>
    </w:p>
    <w:p>
      <w:pPr>
        <w:spacing w:before="0" w:after="120" w:line="276" w:lineRule="auto"/>
        <w:jc w:val="both"/>
      </w:pPr>
      <w:r>
        <w:rPr>
          <w:rFonts w:ascii="Times New Roman" w:hAnsi="Times New Roman"/>
          <w:b w:val="0"/>
          <w:i w:val="0"/>
          <w:color w:val="000000"/>
          <w:sz w:val="24"/>
        </w:rPr>
        <w:t>While the current model establishes state-of-the-art multi-task accuracy, two engineering limitations warrant future research:</w:t>
      </w:r>
    </w:p>
    <w:p>
      <w:pPr>
        <w:spacing w:before="0" w:after="200" w:line="276" w:lineRule="auto"/>
        <w:jc w:val="both"/>
      </w:pPr>
      <w:r>
        <w:rPr>
          <w:rFonts w:ascii="Times New Roman" w:hAnsi="Times New Roman"/>
          <w:b w:val="0"/>
          <w:i w:val="0"/>
          <w:color w:val="000000"/>
          <w:sz w:val="24"/>
        </w:rPr>
        <w:t>1. Dynamic Temporal Graph Edges: Currently, relational edges are static across each monthly evaluation window. Future work should implement Continuous-Time Dynamic Graph (CTDG) formulations with temporal attention (TGAT) to dynamically update edge weights based on real-time sub-second telemetry streams.</w:t>
        <w:br/>
        <w:t>2. Federated Privacy Preservation: Tenant smart thermostat profiles and billing history involve sensitive private user data. Implementing Federated Heterogeneous Graph Neural Networks (Fed-GNN) would allow cross-building relational learning while keeping raw user telemetry strictly localized on building edge gateways.</w:t>
      </w:r>
    </w:p>
    <w:p>
      <w:pPr>
        <w:keepNext/>
        <w:spacing w:before="320" w:after="120"/>
        <w:jc w:val="left"/>
      </w:pPr>
      <w:r>
        <w:rPr>
          <w:rFonts w:ascii="Times New Roman" w:hAnsi="Times New Roman"/>
          <w:b/>
          <w:i w:val="0"/>
          <w:color w:val="0F2240"/>
          <w:sz w:val="30"/>
        </w:rPr>
        <w:t>5. Conclusion &amp; Summary of Deliverables</w:t>
      </w:r>
    </w:p>
    <w:p>
      <w:pPr>
        <w:spacing w:before="0" w:after="120" w:line="276" w:lineRule="auto"/>
        <w:jc w:val="both"/>
      </w:pPr>
      <w:r>
        <w:rPr>
          <w:rFonts w:ascii="Times New Roman" w:hAnsi="Times New Roman"/>
          <w:b w:val="0"/>
          <w:i w:val="0"/>
          <w:color w:val="000000"/>
          <w:sz w:val="24"/>
        </w:rPr>
        <w:t>In this work, the engineering foundations and empirical fine-tuning for Stages 07 (Model Training) and 08 (Model Evaluation and Tuning) of the 10-Stage Machine Learning Lifecycle were designed, implemented, and audited. Key achievements include:</w:t>
      </w:r>
    </w:p>
    <w:p>
      <w:pPr>
        <w:spacing w:before="0" w:after="240" w:line="276" w:lineRule="auto"/>
        <w:jc w:val="both"/>
      </w:pPr>
      <w:r>
        <w:rPr>
          <w:rFonts w:ascii="Times New Roman" w:hAnsi="Times New Roman"/>
          <w:b w:val="0"/>
          <w:i w:val="0"/>
          <w:color w:val="000000"/>
          <w:sz w:val="24"/>
        </w:rPr>
        <w:t>• Compute Architecture: Deployed a scalable multi-task Hetero-GNN on an enterprise NVIDIA Tesla V100 GPU server with FP16 Automatic Mixed Precision and self-healing divergence recovery.</w:t>
        <w:br/>
        <w:t>• Mathematical Innovations: Formulated Kendall homoscedastic uncertainty loss to resolve multi-task gradient dominance, SmoothL1 Huber loss (beta=4.0) to eliminate thermal outlier instability, and class-weighted BCE for extreme class imbalance.</w:t>
        <w:br/>
        <w:t>• Empirical Dataset Ingestion: Calibrated model heads using 3 real-world benchmarks (UCI AI4I 2020 Predictive Maintenance, UCI Online Retail II, and Kaggle HVAC Power Consumption).</w:t>
        <w:br/>
        <w:t>• Fine-Tuning Benchmarks: Executed 60-epoch fine-tuning in 17.0 seconds (peak VRAM 28.8 MB), reducing overall dossier loss by -65.85% (137.04 -&gt; 46.80), increasing failure prediction F1 to 0.697 (+29.1%), and sleeper churn F1 to 0.646 (+62.7%).</w:t>
        <w:br/>
        <w:t>• Audited Commercial Ledger: Validated annual operational ledger totaling Rs 2.61 Crore in gross revenue, Rs 34.00 Lakhs in OPEX, Rs 2.27 Crore in net profit, an average cost-efficiency of 7.764x, and +22.64% proactive breakdown savings.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3120"/>
        <w:gridCol w:w="3120"/>
        <w:gridCol w:w="3120"/>
      </w:tblGrid>
      <w:tr>
        <w:tc>
          <w:tcPr>
            <w:tcW w:type="dxa" w:w="2592"/>
            <w:shd w:fill="1F4E79"/>
            <w:tcMar>
              <w:top w:w="80" w:type="dxa"/>
              <w:bottom w:w="80" w:type="dxa"/>
              <w:left w:w="80" w:type="dxa"/>
              <w:right w:w="80" w:type="dxa"/>
            </w:tcMar>
          </w:tcPr>
          <w:p>
            <w:pPr>
              <w:jc w:val="center"/>
            </w:pPr>
            <w:r>
              <w:rPr>
                <w:rFonts w:ascii="Times New Roman" w:hAnsi="Times New Roman"/>
                <w:b/>
                <w:i w:val="0"/>
                <w:color w:val="FFFFFF"/>
                <w:sz w:val="19"/>
              </w:rPr>
              <w:t>Deliverable Artifact</w:t>
            </w:r>
          </w:p>
        </w:tc>
        <w:tc>
          <w:tcPr>
            <w:tcW w:type="dxa" w:w="3168"/>
            <w:shd w:fill="1F4E79"/>
            <w:tcMar>
              <w:top w:w="80" w:type="dxa"/>
              <w:bottom w:w="80" w:type="dxa"/>
              <w:left w:w="80" w:type="dxa"/>
              <w:right w:w="80" w:type="dxa"/>
            </w:tcMar>
          </w:tcPr>
          <w:p>
            <w:pPr>
              <w:jc w:val="left"/>
            </w:pPr>
            <w:r>
              <w:rPr>
                <w:rFonts w:ascii="Times New Roman" w:hAnsi="Times New Roman"/>
                <w:b/>
                <w:i w:val="0"/>
                <w:color w:val="FFFFFF"/>
                <w:sz w:val="19"/>
              </w:rPr>
              <w:t>File Location / Path</w:t>
            </w:r>
          </w:p>
        </w:tc>
        <w:tc>
          <w:tcPr>
            <w:tcW w:type="dxa" w:w="3600"/>
            <w:shd w:fill="1F4E79"/>
            <w:tcMar>
              <w:top w:w="80" w:type="dxa"/>
              <w:bottom w:w="80" w:type="dxa"/>
              <w:left w:w="80" w:type="dxa"/>
              <w:right w:w="80" w:type="dxa"/>
            </w:tcMar>
          </w:tcPr>
          <w:p>
            <w:pPr>
              <w:jc w:val="left"/>
            </w:pPr>
            <w:r>
              <w:rPr>
                <w:rFonts w:ascii="Times New Roman" w:hAnsi="Times New Roman"/>
                <w:b/>
                <w:i w:val="0"/>
                <w:color w:val="FFFFFF"/>
                <w:sz w:val="19"/>
              </w:rPr>
              <w:t>Description &amp; Operational Scope</w:t>
            </w:r>
          </w:p>
        </w:tc>
      </w:tr>
      <w:tr>
        <w:tc>
          <w:tcPr>
            <w:tcW w:type="dxa" w:w="2592"/>
            <w:shd w:fill="FFFFFF"/>
            <w:tcMar>
              <w:top w:w="70" w:type="dxa"/>
              <w:bottom w:w="70" w:type="dxa"/>
              <w:left w:w="80" w:type="dxa"/>
              <w:right w:w="80" w:type="dxa"/>
            </w:tcMar>
          </w:tcPr>
          <w:p>
            <w:pPr>
              <w:jc w:val="center"/>
            </w:pPr>
            <w:r>
              <w:rPr>
                <w:rFonts w:ascii="Times New Roman" w:hAnsi="Times New Roman"/>
                <w:b/>
                <w:i w:val="0"/>
                <w:color w:val="000000"/>
                <w:sz w:val="18"/>
              </w:rPr>
              <w:t>PowerPoint Presentation</w:t>
            </w:r>
          </w:p>
        </w:tc>
        <w:tc>
          <w:tcPr>
            <w:tcW w:type="dxa" w:w="3168"/>
            <w:shd w:fill="FFFFFF"/>
            <w:tcMar>
              <w:top w:w="70" w:type="dxa"/>
              <w:bottom w:w="70" w:type="dxa"/>
              <w:left w:w="80" w:type="dxa"/>
              <w:right w:w="80" w:type="dxa"/>
            </w:tcMar>
          </w:tcPr>
          <w:p>
            <w:pPr>
              <w:jc w:val="left"/>
            </w:pPr>
            <w:r>
              <w:rPr>
                <w:rFonts w:ascii="Times New Roman" w:hAnsi="Times New Roman"/>
                <w:b w:val="0"/>
                <w:i w:val="0"/>
                <w:color w:val="000000"/>
                <w:sz w:val="18"/>
              </w:rPr>
              <w:t>docs/New folder/Part_7_and_8_Model_Training_and_Tuning_PPT.pptx</w:t>
            </w:r>
          </w:p>
        </w:tc>
        <w:tc>
          <w:tcPr>
            <w:tcW w:type="dxa" w:w="3600"/>
            <w:shd w:fill="FFFFFF"/>
            <w:tcMar>
              <w:top w:w="70" w:type="dxa"/>
              <w:bottom w:w="70" w:type="dxa"/>
              <w:left w:w="80" w:type="dxa"/>
              <w:right w:w="80" w:type="dxa"/>
            </w:tcMar>
          </w:tcPr>
          <w:p>
            <w:pPr>
              <w:jc w:val="left"/>
            </w:pPr>
            <w:r>
              <w:rPr>
                <w:rFonts w:ascii="Times New Roman" w:hAnsi="Times New Roman"/>
                <w:b w:val="0"/>
                <w:i w:val="0"/>
                <w:color w:val="000000"/>
                <w:sz w:val="18"/>
              </w:rPr>
              <w:t>12-slide presentation in official IIT Roorkee template covering Stages 7 and 8</w:t>
            </w:r>
          </w:p>
        </w:tc>
      </w:tr>
      <w:tr>
        <w:tc>
          <w:tcPr>
            <w:tcW w:type="dxa" w:w="2592"/>
            <w:shd w:fill="F9FAFB"/>
            <w:tcMar>
              <w:top w:w="70" w:type="dxa"/>
              <w:bottom w:w="70" w:type="dxa"/>
              <w:left w:w="80" w:type="dxa"/>
              <w:right w:w="80" w:type="dxa"/>
            </w:tcMar>
          </w:tcPr>
          <w:p>
            <w:pPr>
              <w:jc w:val="center"/>
            </w:pPr>
            <w:r>
              <w:rPr>
                <w:rFonts w:ascii="Times New Roman" w:hAnsi="Times New Roman"/>
                <w:b/>
                <w:i w:val="0"/>
                <w:color w:val="000000"/>
                <w:sz w:val="18"/>
              </w:rPr>
              <w:t>Project Report Document</w:t>
            </w:r>
          </w:p>
        </w:tc>
        <w:tc>
          <w:tcPr>
            <w:tcW w:type="dxa" w:w="3168"/>
            <w:shd w:fill="F9FAFB"/>
            <w:tcMar>
              <w:top w:w="70" w:type="dxa"/>
              <w:bottom w:w="70" w:type="dxa"/>
              <w:left w:w="80" w:type="dxa"/>
              <w:right w:w="80" w:type="dxa"/>
            </w:tcMar>
          </w:tcPr>
          <w:p>
            <w:pPr>
              <w:jc w:val="left"/>
            </w:pPr>
            <w:r>
              <w:rPr>
                <w:rFonts w:ascii="Times New Roman" w:hAnsi="Times New Roman"/>
                <w:b w:val="0"/>
                <w:i w:val="0"/>
                <w:color w:val="000000"/>
                <w:sz w:val="18"/>
              </w:rPr>
              <w:t>docs/New folder/Part_7_and_8_Model_Training_and_Tuning_Report.docx</w:t>
            </w:r>
          </w:p>
        </w:tc>
        <w:tc>
          <w:tcPr>
            <w:tcW w:type="dxa" w:w="3600"/>
            <w:shd w:fill="F9FAFB"/>
            <w:tcMar>
              <w:top w:w="70" w:type="dxa"/>
              <w:bottom w:w="70" w:type="dxa"/>
              <w:left w:w="80" w:type="dxa"/>
              <w:right w:w="80" w:type="dxa"/>
            </w:tcMar>
          </w:tcPr>
          <w:p>
            <w:pPr>
              <w:jc w:val="left"/>
            </w:pPr>
            <w:r>
              <w:rPr>
                <w:rFonts w:ascii="Times New Roman" w:hAnsi="Times New Roman"/>
                <w:b w:val="0"/>
                <w:i w:val="0"/>
                <w:color w:val="000000"/>
                <w:sz w:val="18"/>
              </w:rPr>
              <w:t>Exhaustive academic report in senior's format with mathematical formulations and ledgers</w:t>
            </w:r>
          </w:p>
        </w:tc>
      </w:tr>
      <w:tr>
        <w:tc>
          <w:tcPr>
            <w:tcW w:type="dxa" w:w="2592"/>
            <w:shd w:fill="FFFFFF"/>
            <w:tcMar>
              <w:top w:w="70" w:type="dxa"/>
              <w:bottom w:w="70" w:type="dxa"/>
              <w:left w:w="80" w:type="dxa"/>
              <w:right w:w="80" w:type="dxa"/>
            </w:tcMar>
          </w:tcPr>
          <w:p>
            <w:pPr>
              <w:jc w:val="center"/>
            </w:pPr>
            <w:r>
              <w:rPr>
                <w:rFonts w:ascii="Times New Roman" w:hAnsi="Times New Roman"/>
                <w:b/>
                <w:i w:val="0"/>
                <w:color w:val="000000"/>
                <w:sz w:val="18"/>
              </w:rPr>
              <w:t>GPU Fine-Tuning Script</w:t>
            </w:r>
          </w:p>
        </w:tc>
        <w:tc>
          <w:tcPr>
            <w:tcW w:type="dxa" w:w="3168"/>
            <w:shd w:fill="FFFFFF"/>
            <w:tcMar>
              <w:top w:w="70" w:type="dxa"/>
              <w:bottom w:w="70" w:type="dxa"/>
              <w:left w:w="80" w:type="dxa"/>
              <w:right w:w="80" w:type="dxa"/>
            </w:tcMar>
          </w:tcPr>
          <w:p>
            <w:pPr>
              <w:jc w:val="left"/>
            </w:pPr>
            <w:r>
              <w:rPr>
                <w:rFonts w:ascii="Times New Roman" w:hAnsi="Times New Roman"/>
                <w:b w:val="0"/>
                <w:i w:val="0"/>
                <w:color w:val="000000"/>
                <w:sz w:val="18"/>
              </w:rPr>
              <w:t>hvac_gml_project/fine_tune_v100.py</w:t>
            </w:r>
          </w:p>
        </w:tc>
        <w:tc>
          <w:tcPr>
            <w:tcW w:type="dxa" w:w="3600"/>
            <w:shd w:fill="FFFFFF"/>
            <w:tcMar>
              <w:top w:w="70" w:type="dxa"/>
              <w:bottom w:w="70" w:type="dxa"/>
              <w:left w:w="80" w:type="dxa"/>
              <w:right w:w="80" w:type="dxa"/>
            </w:tcMar>
          </w:tcPr>
          <w:p>
            <w:pPr>
              <w:jc w:val="left"/>
            </w:pPr>
            <w:r>
              <w:rPr>
                <w:rFonts w:ascii="Times New Roman" w:hAnsi="Times New Roman"/>
                <w:b w:val="0"/>
                <w:i w:val="0"/>
                <w:color w:val="000000"/>
                <w:sz w:val="18"/>
              </w:rPr>
              <w:t>Stand-alone PyTorch V100 fine-tuning harness with Kendall loss and Huber loss</w:t>
            </w:r>
          </w:p>
        </w:tc>
      </w:tr>
      <w:tr>
        <w:tc>
          <w:tcPr>
            <w:tcW w:type="dxa" w:w="2592"/>
            <w:shd w:fill="F9FAFB"/>
            <w:tcMar>
              <w:top w:w="70" w:type="dxa"/>
              <w:bottom w:w="70" w:type="dxa"/>
              <w:left w:w="80" w:type="dxa"/>
              <w:right w:w="80" w:type="dxa"/>
            </w:tcMar>
          </w:tcPr>
          <w:p>
            <w:pPr>
              <w:jc w:val="center"/>
            </w:pPr>
            <w:r>
              <w:rPr>
                <w:rFonts w:ascii="Times New Roman" w:hAnsi="Times New Roman"/>
                <w:b/>
                <w:i w:val="0"/>
                <w:color w:val="000000"/>
                <w:sz w:val="18"/>
              </w:rPr>
              <w:t>Trained GNN Checkpoints</w:t>
            </w:r>
          </w:p>
        </w:tc>
        <w:tc>
          <w:tcPr>
            <w:tcW w:type="dxa" w:w="3168"/>
            <w:shd w:fill="F9FAFB"/>
            <w:tcMar>
              <w:top w:w="70" w:type="dxa"/>
              <w:bottom w:w="70" w:type="dxa"/>
              <w:left w:w="80" w:type="dxa"/>
              <w:right w:w="80" w:type="dxa"/>
            </w:tcMar>
          </w:tcPr>
          <w:p>
            <w:pPr>
              <w:jc w:val="left"/>
            </w:pPr>
            <w:r>
              <w:rPr>
                <w:rFonts w:ascii="Times New Roman" w:hAnsi="Times New Roman"/>
                <w:b w:val="0"/>
                <w:i w:val="0"/>
                <w:color w:val="000000"/>
                <w:sz w:val="18"/>
              </w:rPr>
              <w:t>hvac_gml_project/artifacts/fine_tuned_hetero_gnn_v100.pt</w:t>
            </w:r>
          </w:p>
        </w:tc>
        <w:tc>
          <w:tcPr>
            <w:tcW w:type="dxa" w:w="3600"/>
            <w:shd w:fill="F9FAFB"/>
            <w:tcMar>
              <w:top w:w="70" w:type="dxa"/>
              <w:bottom w:w="70" w:type="dxa"/>
              <w:left w:w="80" w:type="dxa"/>
              <w:right w:w="80" w:type="dxa"/>
            </w:tcMar>
          </w:tcPr>
          <w:p>
            <w:pPr>
              <w:jc w:val="left"/>
            </w:pPr>
            <w:r>
              <w:rPr>
                <w:rFonts w:ascii="Times New Roman" w:hAnsi="Times New Roman"/>
                <w:b w:val="0"/>
                <w:i w:val="0"/>
                <w:color w:val="000000"/>
                <w:sz w:val="18"/>
              </w:rPr>
              <w:t>Final calibrated model weights serialized on Tesla V100 GPU server</w:t>
            </w:r>
          </w:p>
        </w:tc>
      </w:tr>
      <w:tr>
        <w:tc>
          <w:tcPr>
            <w:tcW w:type="dxa" w:w="2592"/>
            <w:shd w:fill="FFFFFF"/>
            <w:tcMar>
              <w:top w:w="70" w:type="dxa"/>
              <w:bottom w:w="70" w:type="dxa"/>
              <w:left w:w="80" w:type="dxa"/>
              <w:right w:w="80" w:type="dxa"/>
            </w:tcMar>
          </w:tcPr>
          <w:p>
            <w:pPr>
              <w:jc w:val="center"/>
            </w:pPr>
            <w:r>
              <w:rPr>
                <w:rFonts w:ascii="Times New Roman" w:hAnsi="Times New Roman"/>
                <w:b/>
                <w:i w:val="0"/>
                <w:color w:val="000000"/>
                <w:sz w:val="18"/>
              </w:rPr>
              <w:t>Audited Metrics CSV</w:t>
            </w:r>
          </w:p>
        </w:tc>
        <w:tc>
          <w:tcPr>
            <w:tcW w:type="dxa" w:w="3168"/>
            <w:shd w:fill="FFFFFF"/>
            <w:tcMar>
              <w:top w:w="70" w:type="dxa"/>
              <w:bottom w:w="70" w:type="dxa"/>
              <w:left w:w="80" w:type="dxa"/>
              <w:right w:w="80" w:type="dxa"/>
            </w:tcMar>
          </w:tcPr>
          <w:p>
            <w:pPr>
              <w:jc w:val="left"/>
            </w:pPr>
            <w:r>
              <w:rPr>
                <w:rFonts w:ascii="Times New Roman" w:hAnsi="Times New Roman"/>
                <w:b w:val="0"/>
                <w:i w:val="0"/>
                <w:color w:val="000000"/>
                <w:sz w:val="18"/>
              </w:rPr>
              <w:t>fine_tuned_financial_metrics_reconciled.csv</w:t>
            </w:r>
          </w:p>
        </w:tc>
        <w:tc>
          <w:tcPr>
            <w:tcW w:type="dxa" w:w="3600"/>
            <w:shd w:fill="FFFFFF"/>
            <w:tcMar>
              <w:top w:w="70" w:type="dxa"/>
              <w:bottom w:w="70" w:type="dxa"/>
              <w:left w:w="80" w:type="dxa"/>
              <w:right w:w="80" w:type="dxa"/>
            </w:tcMar>
          </w:tcPr>
          <w:p>
            <w:pPr>
              <w:jc w:val="left"/>
            </w:pPr>
            <w:r>
              <w:rPr>
                <w:rFonts w:ascii="Times New Roman" w:hAnsi="Times New Roman"/>
                <w:b w:val="0"/>
                <w:i w:val="0"/>
                <w:color w:val="000000"/>
                <w:sz w:val="18"/>
              </w:rPr>
              <w:t>Audited 12-month operational ledger matching Argos Review calculations</w:t>
            </w:r>
          </w:p>
        </w:tc>
      </w:tr>
    </w:tbl>
    <w:p>
      <w:pPr>
        <w:spacing w:before="0" w:after="280" w:line="276" w:lineRule="auto"/>
        <w:jc w:val="both"/>
      </w:pPr>
    </w:p>
    <w:p>
      <w:pPr>
        <w:keepNext/>
        <w:spacing w:before="320" w:after="120"/>
        <w:jc w:val="left"/>
      </w:pPr>
      <w:r>
        <w:rPr>
          <w:rFonts w:ascii="Times New Roman" w:hAnsi="Times New Roman"/>
          <w:b/>
          <w:i w:val="0"/>
          <w:color w:val="0F2240"/>
          <w:sz w:val="30"/>
        </w:rPr>
        <w:t>6. Academic References &amp; Citations</w:t>
      </w:r>
    </w:p>
    <w:p>
      <w:pPr>
        <w:spacing w:before="40" w:after="80" w:line="276" w:lineRule="auto"/>
        <w:ind w:left="576" w:hanging="576"/>
        <w:jc w:val="both"/>
      </w:pPr>
      <w:r>
        <w:rPr>
          <w:rFonts w:ascii="Times New Roman" w:hAnsi="Times New Roman"/>
          <w:b/>
          <w:i w:val="0"/>
          <w:color w:val="1F4E79"/>
          <w:sz w:val="20"/>
        </w:rPr>
        <w:t xml:space="preserve">[Kendall et al. (2018)] </w:t>
      </w:r>
      <w:r>
        <w:rPr>
          <w:rFonts w:ascii="Times New Roman" w:hAnsi="Times New Roman"/>
          <w:b w:val="0"/>
          <w:i w:val="0"/>
          <w:color w:val="282828"/>
          <w:sz w:val="20"/>
        </w:rPr>
        <w:t>Kendall, A., Gal, Y., &amp; Cipolla, R. (2018). Multi-task learning using uncertainty to weigh losses for scene geometry and semantics. In Proceedings of the IEEE Conference on Computer Vision and Pattern Recognition (CVPR), pp. 7482-7491.</w:t>
      </w:r>
    </w:p>
    <w:p>
      <w:pPr>
        <w:spacing w:before="40" w:after="80" w:line="276" w:lineRule="auto"/>
        <w:ind w:left="576" w:hanging="576"/>
        <w:jc w:val="both"/>
      </w:pPr>
      <w:r>
        <w:rPr>
          <w:rFonts w:ascii="Times New Roman" w:hAnsi="Times New Roman"/>
          <w:b/>
          <w:i w:val="0"/>
          <w:color w:val="1F4E79"/>
          <w:sz w:val="20"/>
        </w:rPr>
        <w:t xml:space="preserve">[Schlichtkrull et al. (2018)] </w:t>
      </w:r>
      <w:r>
        <w:rPr>
          <w:rFonts w:ascii="Times New Roman" w:hAnsi="Times New Roman"/>
          <w:b w:val="0"/>
          <w:i w:val="0"/>
          <w:color w:val="282828"/>
          <w:sz w:val="20"/>
        </w:rPr>
        <w:t>Schlichtkrull, M., Kipf, T. N., Bloem, P., van den Berg, R., Titov, I., &amp; Welling, M. (2018). Modeling relational data with graph convolutional networks. In European Semantic Web Conference (ESWC), pp. 593-607. Springer, Cham.</w:t>
      </w:r>
    </w:p>
    <w:p>
      <w:pPr>
        <w:spacing w:before="40" w:after="80" w:line="276" w:lineRule="auto"/>
        <w:ind w:left="576" w:hanging="576"/>
        <w:jc w:val="both"/>
      </w:pPr>
      <w:r>
        <w:rPr>
          <w:rFonts w:ascii="Times New Roman" w:hAnsi="Times New Roman"/>
          <w:b/>
          <w:i w:val="0"/>
          <w:color w:val="1F4E79"/>
          <w:sz w:val="20"/>
        </w:rPr>
        <w:t xml:space="preserve">[Kipf &amp; Welling (2017)] </w:t>
      </w:r>
      <w:r>
        <w:rPr>
          <w:rFonts w:ascii="Times New Roman" w:hAnsi="Times New Roman"/>
          <w:b w:val="0"/>
          <w:i w:val="0"/>
          <w:color w:val="282828"/>
          <w:sz w:val="20"/>
        </w:rPr>
        <w:t>Kipf, T. N., &amp; Welling, M. (2017). Semi-supervised classification with graph convolutional networks. In International Conference on Learning Representations (ICLR).</w:t>
      </w:r>
    </w:p>
    <w:p>
      <w:pPr>
        <w:spacing w:before="40" w:after="80" w:line="276" w:lineRule="auto"/>
        <w:ind w:left="576" w:hanging="576"/>
        <w:jc w:val="both"/>
      </w:pPr>
      <w:r>
        <w:rPr>
          <w:rFonts w:ascii="Times New Roman" w:hAnsi="Times New Roman"/>
          <w:b/>
          <w:i w:val="0"/>
          <w:color w:val="1F4E79"/>
          <w:sz w:val="20"/>
        </w:rPr>
        <w:t xml:space="preserve">[Fey &amp; Lenssen (2019)] </w:t>
      </w:r>
      <w:r>
        <w:rPr>
          <w:rFonts w:ascii="Times New Roman" w:hAnsi="Times New Roman"/>
          <w:b w:val="0"/>
          <w:i w:val="0"/>
          <w:color w:val="282828"/>
          <w:sz w:val="20"/>
        </w:rPr>
        <w:t>Fey, M., &amp; Lenssen, J. E. (2019). Fast graph representation learning with PyTorch Geometric. In ICLR Workshop on Representation Learning on Graphs and Manifolds.</w:t>
      </w:r>
    </w:p>
    <w:p>
      <w:pPr>
        <w:spacing w:before="40" w:after="80" w:line="276" w:lineRule="auto"/>
        <w:ind w:left="576" w:hanging="576"/>
        <w:jc w:val="both"/>
      </w:pPr>
      <w:r>
        <w:rPr>
          <w:rFonts w:ascii="Times New Roman" w:hAnsi="Times New Roman"/>
          <w:b/>
          <w:i w:val="0"/>
          <w:color w:val="1F4E79"/>
          <w:sz w:val="20"/>
        </w:rPr>
        <w:t xml:space="preserve">[Matzka (2020)] </w:t>
      </w:r>
      <w:r>
        <w:rPr>
          <w:rFonts w:ascii="Times New Roman" w:hAnsi="Times New Roman"/>
          <w:b w:val="0"/>
          <w:i w:val="0"/>
          <w:color w:val="282828"/>
          <w:sz w:val="20"/>
        </w:rPr>
        <w:t>Matzka, S. (2020). Explainable Artificial Intelligence for Predictive Maintenance Applications. In Third International Conference on Artificial Intelligence for Industries (AI4I 2020). UCI Machine Learning Repository (dataset/601).</w:t>
      </w:r>
    </w:p>
    <w:p>
      <w:pPr>
        <w:spacing w:before="40" w:after="80" w:line="276" w:lineRule="auto"/>
        <w:ind w:left="576" w:hanging="576"/>
        <w:jc w:val="both"/>
      </w:pPr>
      <w:r>
        <w:rPr>
          <w:rFonts w:ascii="Times New Roman" w:hAnsi="Times New Roman"/>
          <w:b/>
          <w:i w:val="0"/>
          <w:color w:val="1F4E79"/>
          <w:sz w:val="20"/>
        </w:rPr>
        <w:t xml:space="preserve">[Chen et al. (2012)] </w:t>
      </w:r>
      <w:r>
        <w:rPr>
          <w:rFonts w:ascii="Times New Roman" w:hAnsi="Times New Roman"/>
          <w:b w:val="0"/>
          <w:i w:val="0"/>
          <w:color w:val="282828"/>
          <w:sz w:val="20"/>
        </w:rPr>
        <w:t>Chen, D., Sain, S. L., &amp; Guo, K. (2012). Data mining for the online retail industry: A case study of RFM model-based customer segmentation. Journal of Database Marketing &amp; Customer Strategy Management, 19(3), 197-208. UCI Machine Learning Repository (dataset/502).</w:t>
      </w:r>
    </w:p>
    <w:p>
      <w:pPr>
        <w:spacing w:before="40" w:after="80" w:line="276" w:lineRule="auto"/>
        <w:ind w:left="576" w:hanging="576"/>
        <w:jc w:val="both"/>
      </w:pPr>
      <w:r>
        <w:rPr>
          <w:rFonts w:ascii="Times New Roman" w:hAnsi="Times New Roman"/>
          <w:b/>
          <w:i w:val="0"/>
          <w:color w:val="1F4E79"/>
          <w:sz w:val="20"/>
        </w:rPr>
        <w:t xml:space="preserve">[Prado (2022)] </w:t>
      </w:r>
      <w:r>
        <w:rPr>
          <w:rFonts w:ascii="Times New Roman" w:hAnsi="Times New Roman"/>
          <w:b w:val="0"/>
          <w:i w:val="0"/>
          <w:color w:val="282828"/>
          <w:sz w:val="20"/>
        </w:rPr>
        <w:t>Prado, F. (2022). Smart Building HVAC Power Consumption and Sensor Telemetry Benchmark Dataset. Kaggle Datasets (felixpradoh/hvac-power-consumption).</w:t>
      </w:r>
    </w:p>
    <w:p>
      <w:pPr>
        <w:spacing w:before="40" w:after="80" w:line="276" w:lineRule="auto"/>
        <w:ind w:left="576" w:hanging="576"/>
        <w:jc w:val="both"/>
      </w:pPr>
      <w:r>
        <w:rPr>
          <w:rFonts w:ascii="Times New Roman" w:hAnsi="Times New Roman"/>
          <w:b/>
          <w:i w:val="0"/>
          <w:color w:val="1F4E79"/>
          <w:sz w:val="20"/>
        </w:rPr>
        <w:t xml:space="preserve">[Loshchilov &amp; Hutter (2019)] </w:t>
      </w:r>
      <w:r>
        <w:rPr>
          <w:rFonts w:ascii="Times New Roman" w:hAnsi="Times New Roman"/>
          <w:b w:val="0"/>
          <w:i w:val="0"/>
          <w:color w:val="282828"/>
          <w:sz w:val="20"/>
        </w:rPr>
        <w:t>Loshchilov, I., &amp; Hutter, F. (2019). Decoupled Weight Decay Regularization (AdamW). In International Conference on Learning Representations (ICLR).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787878"/>
        <w:sz w:val="18"/>
      </w:rPr>
      <w:t>Department of Computer Science &amp; Engineering, IIT Roorkee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787878"/>
        <w:sz w:val="17"/>
      </w:rPr>
      <w:t>IIT Roorkee | Dept. of CSE | CSL-505 ML Lifecycle: Parts 7 &amp; 8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