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nchor-runtime"/>
    <w:p>
      <w:pPr>
        <w:pStyle w:val="Heading1"/>
      </w:pPr>
      <w:r>
        <w:t xml:space="preserve">Anchor Runtime</w:t>
      </w:r>
    </w:p>
    <w:bookmarkStart w:id="20" w:name="Xac7c37ffb1cf4373482346aaac3e5678888d53c"/>
    <w:p>
      <w:pPr>
        <w:pStyle w:val="Heading2"/>
      </w:pPr>
      <w:r>
        <w:t xml:space="preserve">Deterministic Governance Infrastructure for Institutional Agentic AI Systems</w:t>
      </w:r>
    </w:p>
    <w:p>
      <w:pPr>
        <w:pStyle w:val="FirstParagraph"/>
      </w:pPr>
      <w:r>
        <w:rPr>
          <w:b/>
          <w:bCs/>
        </w:rPr>
        <w:t xml:space="preserve">Tanishq Dasari</w:t>
      </w:r>
      <w:r>
        <w:br/>
      </w:r>
      <w:r>
        <w:t xml:space="preserve">AnimusLab Research</w:t>
      </w:r>
      <w:r>
        <w:br/>
      </w:r>
      <w:r>
        <w:t xml:space="preserve">India</w:t>
      </w:r>
      <w:r>
        <w:br/>
      </w:r>
      <w:r>
        <w:t xml:space="preserve">contact@anchorgovernance.tech</w:t>
      </w:r>
      <w:r>
        <w:br/>
      </w:r>
      <w:r>
        <w:t xml:space="preserve">https://anchorgovernance.tech</w:t>
      </w:r>
    </w:p>
    <w:p>
      <w:r>
        <w:pict>
          <v:rect style="width:0;height:1.5pt" o:hralign="center" o:hrstd="t" o:hr="t"/>
        </w:pict>
      </w:r>
    </w:p>
    <w:bookmarkEnd w:id="20"/>
    <w:bookmarkStart w:id="21" w:name="abstract"/>
    <w:p>
      <w:pPr>
        <w:pStyle w:val="Heading2"/>
      </w:pPr>
      <w:r>
        <w:t xml:space="preserve">Abstract</w:t>
      </w:r>
    </w:p>
    <w:p>
      <w:pPr>
        <w:pStyle w:val="FirstParagraph"/>
      </w:pPr>
      <w:r>
        <w:t xml:space="preserve">The emergence of agentic artificial intelligence systems has transformed software from deterministic execution environments into probabilistic operational infrastructures capable of autonomous planning, tool invocation, memory persistence, delegated action, and cross system orchestration. Existing governance approaches remain fundamentally observational. Most systems either statically analyse source code before deployment or monitor runtime behaviour after execution. Neither approach establishes deterministic institutional authority over the operational lifecycle of an AI system.</w:t>
      </w:r>
    </w:p>
    <w:p>
      <w:pPr>
        <w:pStyle w:val="BodyText"/>
      </w:pPr>
      <w:r>
        <w:t xml:space="preserve">We present Anchor Runtime, a deterministic governance infrastructure for institutional AI systems that unifies constitutional policy enforcement, runtime authority activation, evidentiary lineage, and cryptographically constrained institutional visibility into a single operational governance plane.</w:t>
      </w:r>
    </w:p>
    <w:p>
      <w:pPr>
        <w:pStyle w:val="BodyText"/>
      </w:pPr>
      <w:r>
        <w:t xml:space="preserve">Anchor Runtime introduces six architectural contributions.</w:t>
      </w:r>
    </w:p>
    <w:p>
      <w:pPr>
        <w:pStyle w:val="BodyText"/>
      </w:pPr>
      <w:r>
        <w:t xml:space="preserve">First, we define the Institutional Identity Infrastructure, a semantic governance model where operational authority is derived from deterministic identity subtypes rather than hierarchical administrator roles.</w:t>
      </w:r>
    </w:p>
    <w:p>
      <w:pPr>
        <w:pStyle w:val="BodyText"/>
      </w:pPr>
      <w:r>
        <w:t xml:space="preserve">Second, we introduce Capability Manifest Enforcement, where every privileged action is governed through time bound institutional capability manifests carrying contextual justification, provenance metadata, and automatic revocation semantics.</w:t>
      </w:r>
    </w:p>
    <w:p>
      <w:pPr>
        <w:pStyle w:val="BodyText"/>
      </w:pPr>
      <w:r>
        <w:t xml:space="preserve">Third, we define the Governance Activation Protocol, a temporary delegated privilege model where sensitive actions such as forensic replay require explicit institutional authorization and purpose declaration.</w:t>
      </w:r>
    </w:p>
    <w:p>
      <w:pPr>
        <w:pStyle w:val="BodyText"/>
      </w:pPr>
      <w:r>
        <w:t xml:space="preserve">Fourth, we introduce Evidentiary Lineage Chains, cryptographically linked governance records that preserve reconstruction continuity across distributed agentic infrastructures.</w:t>
      </w:r>
    </w:p>
    <w:p>
      <w:pPr>
        <w:pStyle w:val="BodyText"/>
      </w:pPr>
      <w:r>
        <w:t xml:space="preserve">Fifth, we define Governance Propagation Architecture, a distributed event system enabling real time policy synchronization and capability revocation across federated governance meshes.</w:t>
      </w:r>
    </w:p>
    <w:p>
      <w:pPr>
        <w:pStyle w:val="BodyText"/>
      </w:pPr>
      <w:r>
        <w:t xml:space="preserve">Sixth, we formalize Runtime Enforcement Planes, a layered institutional architecture separating enterprise operations, cross hub observability, and sovereign regulatory oversight into deterministic visibility boundaries.</w:t>
      </w:r>
    </w:p>
    <w:p>
      <w:pPr>
        <w:pStyle w:val="BodyText"/>
      </w:pPr>
      <w:r>
        <w:t xml:space="preserve">Unlike conventional monitoring systems, Anchor Runtime treats governance as an executable infrastructure primitive rather than an observational afterthought. The resulting architecture provides deterministic operational semantics for institutional AI deployments operating under regulatory, financial, and forensic accountability constraints.</w:t>
      </w:r>
    </w:p>
    <w:p>
      <w:r>
        <w:pict>
          <v:rect style="width:0;height:1.5pt" o:hralign="center" o:hrstd="t" o:hr="t"/>
        </w:pict>
      </w:r>
    </w:p>
    <w:bookmarkEnd w:id="21"/>
    <w:bookmarkEnd w:id="22"/>
    <w:bookmarkStart w:id="23" w:name="introduction"/>
    <w:p>
      <w:pPr>
        <w:pStyle w:val="Heading1"/>
      </w:pPr>
      <w:r>
        <w:t xml:space="preserve">1. Introduction</w:t>
      </w:r>
    </w:p>
    <w:p>
      <w:pPr>
        <w:pStyle w:val="FirstParagraph"/>
      </w:pPr>
      <w:r>
        <w:t xml:space="preserve">The operational transition from passive software systems to agentic AI systems introduces a fundamental institutional problem.</w:t>
      </w:r>
    </w:p>
    <w:p>
      <w:pPr>
        <w:pStyle w:val="BodyText"/>
      </w:pPr>
      <w:r>
        <w:t xml:space="preserve">Traditional software executes explicit developer authored instructions. Agentic systems instead generate operational behaviour dynamically through probabilistic reasoning, runtime planning, tool invocation, retrieval augmentation, and delegated execution.</w:t>
      </w:r>
    </w:p>
    <w:p>
      <w:pPr>
        <w:pStyle w:val="BodyText"/>
      </w:pPr>
      <w:r>
        <w:t xml:space="preserve">This transformation creates a governance discontinuity.</w:t>
      </w:r>
    </w:p>
    <w:p>
      <w:pPr>
        <w:pStyle w:val="BodyText"/>
      </w:pPr>
      <w:r>
        <w:t xml:space="preserve">The institution deploying the system no longer fully controls:</w:t>
      </w:r>
    </w:p>
    <w:p>
      <w:pPr>
        <w:pStyle w:val="Compact"/>
        <w:numPr>
          <w:ilvl w:val="0"/>
          <w:numId w:val="1001"/>
        </w:numPr>
      </w:pPr>
      <w:r>
        <w:t xml:space="preserve">which tools are invoked,</w:t>
      </w:r>
    </w:p>
    <w:p>
      <w:pPr>
        <w:pStyle w:val="Compact"/>
        <w:numPr>
          <w:ilvl w:val="0"/>
          <w:numId w:val="1001"/>
        </w:numPr>
      </w:pPr>
      <w:r>
        <w:t xml:space="preserve">which data sources are queried,</w:t>
      </w:r>
    </w:p>
    <w:p>
      <w:pPr>
        <w:pStyle w:val="Compact"/>
        <w:numPr>
          <w:ilvl w:val="0"/>
          <w:numId w:val="1001"/>
        </w:numPr>
      </w:pPr>
      <w:r>
        <w:t xml:space="preserve">which actions are delegated,</w:t>
      </w:r>
    </w:p>
    <w:p>
      <w:pPr>
        <w:pStyle w:val="Compact"/>
        <w:numPr>
          <w:ilvl w:val="0"/>
          <w:numId w:val="1001"/>
        </w:numPr>
      </w:pPr>
      <w:r>
        <w:t xml:space="preserve">which operational context influences decisions,</w:t>
      </w:r>
    </w:p>
    <w:p>
      <w:pPr>
        <w:pStyle w:val="Compact"/>
        <w:numPr>
          <w:ilvl w:val="0"/>
          <w:numId w:val="1001"/>
        </w:numPr>
      </w:pPr>
      <w:r>
        <w:t xml:space="preserve">or which reasoning path produced a final outcome.</w:t>
      </w:r>
    </w:p>
    <w:p>
      <w:pPr>
        <w:pStyle w:val="FirstParagraph"/>
      </w:pPr>
      <w:r>
        <w:t xml:space="preserve">Existing governance infrastructure remains structurally insufficient for this environment.</w:t>
      </w:r>
    </w:p>
    <w:p>
      <w:pPr>
        <w:pStyle w:val="BodyText"/>
      </w:pPr>
      <w:r>
        <w:t xml:space="preserve">Static analysis tools evaluate source code before deployment but cannot establish runtime accountability.</w:t>
      </w:r>
    </w:p>
    <w:p>
      <w:pPr>
        <w:pStyle w:val="BodyText"/>
      </w:pPr>
      <w:r>
        <w:t xml:space="preserve">Runtime monitoring platforms observe telemetry after execution but lack deterministic enforcement authority.</w:t>
      </w:r>
    </w:p>
    <w:p>
      <w:pPr>
        <w:pStyle w:val="BodyText"/>
      </w:pPr>
      <w:r>
        <w:t xml:space="preserve">Security orchestration systems operate at the infrastructure layer but do not model institutional governance semantics.</w:t>
      </w:r>
    </w:p>
    <w:p>
      <w:pPr>
        <w:pStyle w:val="BodyText"/>
      </w:pPr>
      <w:r>
        <w:t xml:space="preserve">As agentic systems increasingly enter regulated environments including finance, healthcare, sovereign administration, insurance, cybersecurity, and public infrastructure, this governance gap becomes operationally unacceptable.</w:t>
      </w:r>
    </w:p>
    <w:p>
      <w:pPr>
        <w:pStyle w:val="BodyText"/>
      </w:pPr>
      <w:r>
        <w:t xml:space="preserve">The emerging regulatory environment reflects this transition.</w:t>
      </w:r>
    </w:p>
    <w:p>
      <w:pPr>
        <w:pStyle w:val="BodyText"/>
      </w:pPr>
      <w:r>
        <w:t xml:space="preserve">The European Union AI Act requires logging, traceability, transparency, and operational oversight for high risk AI systems.</w:t>
      </w:r>
    </w:p>
    <w:p>
      <w:pPr>
        <w:pStyle w:val="BodyText"/>
      </w:pPr>
      <w:r>
        <w:t xml:space="preserve">Financial regulators increasingly require per decision auditability, explainability guarantees, and institutional accountability.</w:t>
      </w:r>
    </w:p>
    <w:p>
      <w:pPr>
        <w:pStyle w:val="BodyText"/>
      </w:pPr>
      <w:r>
        <w:t xml:space="preserve">National security frameworks increasingly treat AI governance as critical infrastructure.</w:t>
      </w:r>
    </w:p>
    <w:p>
      <w:pPr>
        <w:pStyle w:val="BodyText"/>
      </w:pPr>
      <w:r>
        <w:t xml:space="preserve">Yet current AI governance architectures remain primarily observational.</w:t>
      </w:r>
    </w:p>
    <w:p>
      <w:pPr>
        <w:pStyle w:val="BodyText"/>
      </w:pPr>
      <w:r>
        <w:t xml:space="preserve">We argue that governance for institutional AI systems must evolve from:</w:t>
      </w:r>
    </w:p>
    <w:p>
      <w:pPr>
        <w:pStyle w:val="BlockText"/>
      </w:pPr>
      <w:r>
        <w:t xml:space="preserve">monitoring infrastructure</w:t>
      </w:r>
    </w:p>
    <w:p>
      <w:pPr>
        <w:pStyle w:val="FirstParagraph"/>
      </w:pPr>
      <w:r>
        <w:t xml:space="preserve">to:</w:t>
      </w:r>
    </w:p>
    <w:p>
      <w:pPr>
        <w:pStyle w:val="BlockText"/>
      </w:pPr>
      <w:r>
        <w:t xml:space="preserve">deterministic runtime enforcement infrastructure.</w:t>
      </w:r>
    </w:p>
    <w:p>
      <w:pPr>
        <w:pStyle w:val="FirstParagraph"/>
      </w:pPr>
      <w:r>
        <w:t xml:space="preserve">Anchor Runtime is designed around this premise.</w:t>
      </w:r>
    </w:p>
    <w:p>
      <w:pPr>
        <w:pStyle w:val="BodyText"/>
      </w:pPr>
      <w:r>
        <w:t xml:space="preserve">Instead of treating governance as a dashboard layered on top of AI systems, Anchor Runtime treats governance as a first class operational substrate governing identity, authority, visibility, evidence continuity, and institutional accountability.</w:t>
      </w:r>
    </w:p>
    <w:p>
      <w:r>
        <w:pict>
          <v:rect style="width:0;height:1.5pt" o:hralign="center" o:hrstd="t" o:hr="t"/>
        </w:pict>
      </w:r>
    </w:p>
    <w:bookmarkEnd w:id="23"/>
    <w:bookmarkStart w:id="29" w:name="X79e155f485de10be053a7cac0cb3926e39ae9aa"/>
    <w:p>
      <w:pPr>
        <w:pStyle w:val="Heading1"/>
      </w:pPr>
      <w:r>
        <w:t xml:space="preserve">2. The Failure of Existing Governance Models</w:t>
      </w:r>
    </w:p>
    <w:bookmarkStart w:id="24" w:name="observational-governance"/>
    <w:p>
      <w:pPr>
        <w:pStyle w:val="Heading2"/>
      </w:pPr>
      <w:r>
        <w:t xml:space="preserve">2.1 Observational Governance</w:t>
      </w:r>
    </w:p>
    <w:p>
      <w:pPr>
        <w:pStyle w:val="FirstParagraph"/>
      </w:pPr>
      <w:r>
        <w:t xml:space="preserve">Most AI governance systems today are observational.</w:t>
      </w:r>
    </w:p>
    <w:p>
      <w:pPr>
        <w:pStyle w:val="BodyText"/>
      </w:pPr>
      <w:r>
        <w:t xml:space="preserve">They collect telemetry, generate dashboards, aggregate logs, and provide after the fact compliance reports.</w:t>
      </w:r>
    </w:p>
    <w:p>
      <w:pPr>
        <w:pStyle w:val="BodyText"/>
      </w:pPr>
      <w:r>
        <w:t xml:space="preserve">This creates several structural weaknesses.</w:t>
      </w:r>
    </w:p>
    <w:p>
      <w:pPr>
        <w:pStyle w:val="BodyText"/>
      </w:pPr>
      <w:r>
        <w:t xml:space="preserve">First, observational systems do not constrain operational authority.</w:t>
      </w:r>
    </w:p>
    <w:p>
      <w:pPr>
        <w:pStyle w:val="BodyText"/>
      </w:pPr>
      <w:r>
        <w:t xml:space="preserve">A regulator, auditor, operator, or investigator may receive broad access privileges disconnected from operational necessity.</w:t>
      </w:r>
    </w:p>
    <w:p>
      <w:pPr>
        <w:pStyle w:val="BodyText"/>
      </w:pPr>
      <w:r>
        <w:t xml:space="preserve">Second, visibility boundaries are frequently enforced only at the frontend layer.</w:t>
      </w:r>
    </w:p>
    <w:p>
      <w:pPr>
        <w:pStyle w:val="BodyText"/>
      </w:pPr>
      <w:r>
        <w:t xml:space="preserve">The backend still exposes excessive operational information, relying on interface segmentation rather than deterministic authority enforcement.</w:t>
      </w:r>
    </w:p>
    <w:p>
      <w:pPr>
        <w:pStyle w:val="BodyText"/>
      </w:pPr>
      <w:r>
        <w:t xml:space="preserve">Third, runtime access often lacks temporal semantics.</w:t>
      </w:r>
    </w:p>
    <w:p>
      <w:pPr>
        <w:pStyle w:val="BodyText"/>
      </w:pPr>
      <w:r>
        <w:t xml:space="preserve">Once privileged access is granted, the privilege frequently persists indefinitely.</w:t>
      </w:r>
    </w:p>
    <w:p>
      <w:pPr>
        <w:pStyle w:val="BodyText"/>
      </w:pPr>
      <w:r>
        <w:t xml:space="preserve">Fourth, most governance systems fail to establish evidentiary continuity.</w:t>
      </w:r>
    </w:p>
    <w:p>
      <w:pPr>
        <w:pStyle w:val="BodyText"/>
      </w:pPr>
      <w:r>
        <w:t xml:space="preserve">Logs exist, but the chain linking:</w:t>
      </w:r>
    </w:p>
    <w:p>
      <w:pPr>
        <w:pStyle w:val="Compact"/>
        <w:numPr>
          <w:ilvl w:val="0"/>
          <w:numId w:val="1002"/>
        </w:numPr>
      </w:pPr>
      <w:r>
        <w:t xml:space="preserve">authorization,</w:t>
      </w:r>
    </w:p>
    <w:p>
      <w:pPr>
        <w:pStyle w:val="Compact"/>
        <w:numPr>
          <w:ilvl w:val="0"/>
          <w:numId w:val="1002"/>
        </w:numPr>
      </w:pPr>
      <w:r>
        <w:t xml:space="preserve">policy state,</w:t>
      </w:r>
    </w:p>
    <w:p>
      <w:pPr>
        <w:pStyle w:val="Compact"/>
        <w:numPr>
          <w:ilvl w:val="0"/>
          <w:numId w:val="1002"/>
        </w:numPr>
      </w:pPr>
      <w:r>
        <w:t xml:space="preserve">institutional identity,</w:t>
      </w:r>
    </w:p>
    <w:p>
      <w:pPr>
        <w:pStyle w:val="Compact"/>
        <w:numPr>
          <w:ilvl w:val="0"/>
          <w:numId w:val="1002"/>
        </w:numPr>
      </w:pPr>
      <w:r>
        <w:t xml:space="preserve">operational context,</w:t>
      </w:r>
    </w:p>
    <w:p>
      <w:pPr>
        <w:pStyle w:val="Compact"/>
        <w:numPr>
          <w:ilvl w:val="0"/>
          <w:numId w:val="1002"/>
        </w:numPr>
      </w:pPr>
      <w:r>
        <w:t xml:space="preserve">and runtime execution</w:t>
      </w:r>
    </w:p>
    <w:p>
      <w:pPr>
        <w:pStyle w:val="FirstParagraph"/>
      </w:pPr>
      <w:r>
        <w:t xml:space="preserve">is frequently incomplete.</w:t>
      </w:r>
    </w:p>
    <w:p>
      <w:pPr>
        <w:pStyle w:val="BodyText"/>
      </w:pPr>
      <w:r>
        <w:t xml:space="preserve">Finally, existing governance models rarely distinguish between institutional personas.</w:t>
      </w:r>
    </w:p>
    <w:p>
      <w:pPr>
        <w:pStyle w:val="BodyText"/>
      </w:pPr>
      <w:r>
        <w:t xml:space="preserve">A regulator, internal auditor, and forensic operator often operate inside the same operational interface with only superficial permission differences.</w:t>
      </w:r>
    </w:p>
    <w:p>
      <w:pPr>
        <w:pStyle w:val="BodyText"/>
      </w:pPr>
      <w:r>
        <w:t xml:space="preserve">This creates governance ambiguity.</w:t>
      </w:r>
    </w:p>
    <w:p>
      <w:r>
        <w:pict>
          <v:rect style="width:0;height:1.5pt" o:hralign="center" o:hrstd="t" o:hr="t"/>
        </w:pict>
      </w:r>
    </w:p>
    <w:bookmarkEnd w:id="24"/>
    <w:bookmarkStart w:id="28" w:name="the-governance-layer-collapse"/>
    <w:p>
      <w:pPr>
        <w:pStyle w:val="Heading2"/>
      </w:pPr>
      <w:r>
        <w:t xml:space="preserve">2.2 The Governance Layer Collapse</w:t>
      </w:r>
    </w:p>
    <w:p>
      <w:pPr>
        <w:pStyle w:val="FirstParagraph"/>
      </w:pPr>
      <w:r>
        <w:t xml:space="preserve">Most enterprise governance architectures collapse three distinct institutional layers into one operational surface.</w:t>
      </w:r>
    </w:p>
    <w:bookmarkStart w:id="25" w:name="enterprise-operations-layer"/>
    <w:p>
      <w:pPr>
        <w:pStyle w:val="Heading3"/>
      </w:pPr>
      <w:r>
        <w:t xml:space="preserve">Enterprise Operations Layer</w:t>
      </w:r>
    </w:p>
    <w:p>
      <w:pPr>
        <w:pStyle w:val="FirstParagraph"/>
      </w:pPr>
      <w:r>
        <w:t xml:space="preserve">Responsible for:</w:t>
      </w:r>
    </w:p>
    <w:p>
      <w:pPr>
        <w:pStyle w:val="Compact"/>
        <w:numPr>
          <w:ilvl w:val="0"/>
          <w:numId w:val="1003"/>
        </w:numPr>
      </w:pPr>
      <w:r>
        <w:t xml:space="preserve">deployment,</w:t>
      </w:r>
    </w:p>
    <w:p>
      <w:pPr>
        <w:pStyle w:val="Compact"/>
        <w:numPr>
          <w:ilvl w:val="0"/>
          <w:numId w:val="1003"/>
        </w:numPr>
      </w:pPr>
      <w:r>
        <w:t xml:space="preserve">monitoring,</w:t>
      </w:r>
    </w:p>
    <w:p>
      <w:pPr>
        <w:pStyle w:val="Compact"/>
        <w:numPr>
          <w:ilvl w:val="0"/>
          <w:numId w:val="1003"/>
        </w:numPr>
      </w:pPr>
      <w:r>
        <w:t xml:space="preserve">operational management,</w:t>
      </w:r>
    </w:p>
    <w:p>
      <w:pPr>
        <w:pStyle w:val="Compact"/>
        <w:numPr>
          <w:ilvl w:val="0"/>
          <w:numId w:val="1003"/>
        </w:numPr>
      </w:pPr>
      <w:r>
        <w:t xml:space="preserve">CI and CD integration,</w:t>
      </w:r>
    </w:p>
    <w:p>
      <w:pPr>
        <w:pStyle w:val="Compact"/>
        <w:numPr>
          <w:ilvl w:val="0"/>
          <w:numId w:val="1003"/>
        </w:numPr>
      </w:pPr>
      <w:r>
        <w:t xml:space="preserve">infrastructure continuity.</w:t>
      </w:r>
    </w:p>
    <w:bookmarkEnd w:id="25"/>
    <w:bookmarkStart w:id="26" w:name="observability-layer"/>
    <w:p>
      <w:pPr>
        <w:pStyle w:val="Heading3"/>
      </w:pPr>
      <w:r>
        <w:t xml:space="preserve">Observability Layer</w:t>
      </w:r>
    </w:p>
    <w:p>
      <w:pPr>
        <w:pStyle w:val="FirstParagraph"/>
      </w:pPr>
      <w:r>
        <w:t xml:space="preserve">Responsible for:</w:t>
      </w:r>
    </w:p>
    <w:p>
      <w:pPr>
        <w:pStyle w:val="Compact"/>
        <w:numPr>
          <w:ilvl w:val="0"/>
          <w:numId w:val="1004"/>
        </w:numPr>
      </w:pPr>
      <w:r>
        <w:t xml:space="preserve">cross system visibility,</w:t>
      </w:r>
    </w:p>
    <w:p>
      <w:pPr>
        <w:pStyle w:val="Compact"/>
        <w:numPr>
          <w:ilvl w:val="0"/>
          <w:numId w:val="1004"/>
        </w:numPr>
      </w:pPr>
      <w:r>
        <w:t xml:space="preserve">operational analytics,</w:t>
      </w:r>
    </w:p>
    <w:p>
      <w:pPr>
        <w:pStyle w:val="Compact"/>
        <w:numPr>
          <w:ilvl w:val="0"/>
          <w:numId w:val="1004"/>
        </w:numPr>
      </w:pPr>
      <w:r>
        <w:t xml:space="preserve">trend analysis,</w:t>
      </w:r>
    </w:p>
    <w:p>
      <w:pPr>
        <w:pStyle w:val="Compact"/>
        <w:numPr>
          <w:ilvl w:val="0"/>
          <w:numId w:val="1004"/>
        </w:numPr>
      </w:pPr>
      <w:r>
        <w:t xml:space="preserve">governance telemetry.</w:t>
      </w:r>
    </w:p>
    <w:bookmarkEnd w:id="26"/>
    <w:bookmarkStart w:id="27" w:name="sovereign-oversight-layer"/>
    <w:p>
      <w:pPr>
        <w:pStyle w:val="Heading3"/>
      </w:pPr>
      <w:r>
        <w:t xml:space="preserve">Sovereign Oversight Layer</w:t>
      </w:r>
    </w:p>
    <w:p>
      <w:pPr>
        <w:pStyle w:val="FirstParagraph"/>
      </w:pPr>
      <w:r>
        <w:t xml:space="preserve">Responsible for:</w:t>
      </w:r>
    </w:p>
    <w:p>
      <w:pPr>
        <w:pStyle w:val="Compact"/>
        <w:numPr>
          <w:ilvl w:val="0"/>
          <w:numId w:val="1005"/>
        </w:numPr>
      </w:pPr>
      <w:r>
        <w:t xml:space="preserve">legal accountability,</w:t>
      </w:r>
    </w:p>
    <w:p>
      <w:pPr>
        <w:pStyle w:val="Compact"/>
        <w:numPr>
          <w:ilvl w:val="0"/>
          <w:numId w:val="1005"/>
        </w:numPr>
      </w:pPr>
      <w:r>
        <w:t xml:space="preserve">forensic reconstruction,</w:t>
      </w:r>
    </w:p>
    <w:p>
      <w:pPr>
        <w:pStyle w:val="Compact"/>
        <w:numPr>
          <w:ilvl w:val="0"/>
          <w:numId w:val="1005"/>
        </w:numPr>
      </w:pPr>
      <w:r>
        <w:t xml:space="preserve">enforcement authority,</w:t>
      </w:r>
    </w:p>
    <w:p>
      <w:pPr>
        <w:pStyle w:val="Compact"/>
        <w:numPr>
          <w:ilvl w:val="0"/>
          <w:numId w:val="1005"/>
        </w:numPr>
      </w:pPr>
      <w:r>
        <w:t xml:space="preserve">regulatory traceability.</w:t>
      </w:r>
    </w:p>
    <w:p>
      <w:pPr>
        <w:pStyle w:val="FirstParagraph"/>
      </w:pPr>
      <w:r>
        <w:t xml:space="preserve">Conventional governance systems expose all three layers through the same operational substrate.</w:t>
      </w:r>
    </w:p>
    <w:p>
      <w:pPr>
        <w:pStyle w:val="BodyText"/>
      </w:pPr>
      <w:r>
        <w:t xml:space="preserve">Anchor Runtime instead formalizes them as deterministic enforcement planes.</w:t>
      </w:r>
    </w:p>
    <w:p>
      <w:r>
        <w:pict>
          <v:rect style="width:0;height:1.5pt" o:hralign="center" o:hrstd="t" o:hr="t"/>
        </w:pict>
      </w:r>
    </w:p>
    <w:bookmarkEnd w:id="27"/>
    <w:bookmarkEnd w:id="28"/>
    <w:bookmarkEnd w:id="29"/>
    <w:bookmarkStart w:id="37" w:name="architectural-principles"/>
    <w:p>
      <w:pPr>
        <w:pStyle w:val="Heading1"/>
      </w:pPr>
      <w:r>
        <w:t xml:space="preserve">3. Architectural Principles</w:t>
      </w:r>
    </w:p>
    <w:p>
      <w:pPr>
        <w:pStyle w:val="FirstParagraph"/>
      </w:pPr>
      <w:r>
        <w:t xml:space="preserve">Anchor Runtime is designed around seven architectural principles.</w:t>
      </w:r>
    </w:p>
    <w:bookmarkStart w:id="30" w:name="deterministic-governance"/>
    <w:p>
      <w:pPr>
        <w:pStyle w:val="Heading2"/>
      </w:pPr>
      <w:r>
        <w:t xml:space="preserve">3.1 Deterministic Governance</w:t>
      </w:r>
    </w:p>
    <w:p>
      <w:pPr>
        <w:pStyle w:val="FirstParagraph"/>
      </w:pPr>
      <w:r>
        <w:t xml:space="preserve">Governance decisions must be derived through deterministic runtime rules rather than inferred operational assumptions.</w:t>
      </w:r>
    </w:p>
    <w:bookmarkEnd w:id="30"/>
    <w:bookmarkStart w:id="31" w:name="institutional-semantics"/>
    <w:p>
      <w:pPr>
        <w:pStyle w:val="Heading2"/>
      </w:pPr>
      <w:r>
        <w:t xml:space="preserve">3.2 Institutional Semantics</w:t>
      </w:r>
    </w:p>
    <w:p>
      <w:pPr>
        <w:pStyle w:val="FirstParagraph"/>
      </w:pPr>
      <w:r>
        <w:t xml:space="preserve">Operational authority should be represented through institutional identity semantics rather than generic role based access control.</w:t>
      </w:r>
    </w:p>
    <w:bookmarkEnd w:id="31"/>
    <w:bookmarkStart w:id="32" w:name="temporal-authority"/>
    <w:p>
      <w:pPr>
        <w:pStyle w:val="Heading2"/>
      </w:pPr>
      <w:r>
        <w:t xml:space="preserve">3.3 Temporal Authority</w:t>
      </w:r>
    </w:p>
    <w:p>
      <w:pPr>
        <w:pStyle w:val="FirstParagraph"/>
      </w:pPr>
      <w:r>
        <w:t xml:space="preserve">High privilege capabilities must be time bound, justified, and automatically revocable.</w:t>
      </w:r>
    </w:p>
    <w:bookmarkEnd w:id="32"/>
    <w:bookmarkStart w:id="33" w:name="visibility-minimization"/>
    <w:p>
      <w:pPr>
        <w:pStyle w:val="Heading2"/>
      </w:pPr>
      <w:r>
        <w:t xml:space="preserve">3.4 Visibility Minimization</w:t>
      </w:r>
    </w:p>
    <w:p>
      <w:pPr>
        <w:pStyle w:val="FirstParagraph"/>
      </w:pPr>
      <w:r>
        <w:t xml:space="preserve">Entities should only receive the minimum operational visibility required for their institutional function.</w:t>
      </w:r>
    </w:p>
    <w:bookmarkEnd w:id="33"/>
    <w:bookmarkStart w:id="34" w:name="evidentiary-continuity"/>
    <w:p>
      <w:pPr>
        <w:pStyle w:val="Heading2"/>
      </w:pPr>
      <w:r>
        <w:t xml:space="preserve">3.5 Evidentiary Continuity</w:t>
      </w:r>
    </w:p>
    <w:p>
      <w:pPr>
        <w:pStyle w:val="FirstParagraph"/>
      </w:pPr>
      <w:r>
        <w:t xml:space="preserve">Every governance action must preserve reconstructable lineage.</w:t>
      </w:r>
    </w:p>
    <w:bookmarkEnd w:id="34"/>
    <w:bookmarkStart w:id="35" w:name="runtime-propagation"/>
    <w:p>
      <w:pPr>
        <w:pStyle w:val="Heading2"/>
      </w:pPr>
      <w:r>
        <w:t xml:space="preserve">3.6 Runtime Propagation</w:t>
      </w:r>
    </w:p>
    <w:p>
      <w:pPr>
        <w:pStyle w:val="FirstParagraph"/>
      </w:pPr>
      <w:r>
        <w:t xml:space="preserve">Policy changes and capability revocations must propagate through the governance mesh in real time.</w:t>
      </w:r>
    </w:p>
    <w:bookmarkEnd w:id="35"/>
    <w:bookmarkStart w:id="36" w:name="constitutional-enforcement"/>
    <w:p>
      <w:pPr>
        <w:pStyle w:val="Heading2"/>
      </w:pPr>
      <w:r>
        <w:t xml:space="preserve">3.7 Constitutional Enforcement</w:t>
      </w:r>
    </w:p>
    <w:p>
      <w:pPr>
        <w:pStyle w:val="FirstParagraph"/>
      </w:pPr>
      <w:r>
        <w:t xml:space="preserve">Governance constraints must be derived from signed constitutional manifests rather than mutable operational configuration.</w:t>
      </w:r>
    </w:p>
    <w:p>
      <w:r>
        <w:pict>
          <v:rect style="width:0;height:1.5pt" o:hralign="center" o:hrstd="t" o:hr="t"/>
        </w:pict>
      </w:r>
    </w:p>
    <w:bookmarkEnd w:id="36"/>
    <w:bookmarkEnd w:id="37"/>
    <w:bookmarkStart w:id="43" w:name="institutional-identity-infrastructure"/>
    <w:p>
      <w:pPr>
        <w:pStyle w:val="Heading1"/>
      </w:pPr>
      <w:r>
        <w:t xml:space="preserve">4. Institutional Identity Infrastructure</w:t>
      </w:r>
    </w:p>
    <w:bookmarkStart w:id="41" w:name="identity-subtypes"/>
    <w:p>
      <w:pPr>
        <w:pStyle w:val="Heading2"/>
      </w:pPr>
      <w:r>
        <w:t xml:space="preserve">4.1 Identity Subtypes</w:t>
      </w:r>
    </w:p>
    <w:p>
      <w:pPr>
        <w:pStyle w:val="FirstParagraph"/>
      </w:pPr>
      <w:r>
        <w:t xml:space="preserve">Anchor Runtime replaces traditional hierarchical clearance systems with semantic institutional identities.</w:t>
      </w:r>
    </w:p>
    <w:p>
      <w:pPr>
        <w:pStyle w:val="BodyText"/>
      </w:pPr>
      <w:r>
        <w:t xml:space="preserve">Three operational subtypes form the foundation of the governance model.</w:t>
      </w:r>
    </w:p>
    <w:bookmarkStart w:id="38" w:name="government-auditor"/>
    <w:p>
      <w:pPr>
        <w:pStyle w:val="Heading3"/>
      </w:pPr>
      <w:r>
        <w:t xml:space="preserve">Government Auditor</w:t>
      </w:r>
    </w:p>
    <w:p>
      <w:pPr>
        <w:pStyle w:val="FirstParagraph"/>
      </w:pPr>
      <w:r>
        <w:t xml:space="preserve">Government auditors represent sovereign oversight entities including:</w:t>
      </w:r>
    </w:p>
    <w:p>
      <w:pPr>
        <w:pStyle w:val="Compact"/>
        <w:numPr>
          <w:ilvl w:val="0"/>
          <w:numId w:val="1006"/>
        </w:numPr>
      </w:pPr>
      <w:r>
        <w:t xml:space="preserve">financial regulators,</w:t>
      </w:r>
    </w:p>
    <w:p>
      <w:pPr>
        <w:pStyle w:val="Compact"/>
        <w:numPr>
          <w:ilvl w:val="0"/>
          <w:numId w:val="1006"/>
        </w:numPr>
      </w:pPr>
      <w:r>
        <w:t xml:space="preserve">national AI authorities,</w:t>
      </w:r>
    </w:p>
    <w:p>
      <w:pPr>
        <w:pStyle w:val="Compact"/>
        <w:numPr>
          <w:ilvl w:val="0"/>
          <w:numId w:val="1006"/>
        </w:numPr>
      </w:pPr>
      <w:r>
        <w:t xml:space="preserve">state audit bodies,</w:t>
      </w:r>
    </w:p>
    <w:p>
      <w:pPr>
        <w:pStyle w:val="Compact"/>
        <w:numPr>
          <w:ilvl w:val="0"/>
          <w:numId w:val="1006"/>
        </w:numPr>
      </w:pPr>
      <w:r>
        <w:t xml:space="preserve">legal oversight institutions.</w:t>
      </w:r>
    </w:p>
    <w:p>
      <w:pPr>
        <w:pStyle w:val="FirstParagraph"/>
      </w:pPr>
      <w:r>
        <w:t xml:space="preserve">Their visibility scope is jurisdiction oriented rather than infrastructure oriented.</w:t>
      </w:r>
    </w:p>
    <w:p>
      <w:pPr>
        <w:pStyle w:val="BodyText"/>
      </w:pPr>
      <w:r>
        <w:t xml:space="preserve">They observe:</w:t>
      </w:r>
    </w:p>
    <w:p>
      <w:pPr>
        <w:pStyle w:val="Compact"/>
        <w:numPr>
          <w:ilvl w:val="0"/>
          <w:numId w:val="1007"/>
        </w:numPr>
      </w:pPr>
      <w:r>
        <w:t xml:space="preserve">AI agent decisions,</w:t>
      </w:r>
    </w:p>
    <w:p>
      <w:pPr>
        <w:pStyle w:val="Compact"/>
        <w:numPr>
          <w:ilvl w:val="0"/>
          <w:numId w:val="1007"/>
        </w:numPr>
      </w:pPr>
      <w:r>
        <w:t xml:space="preserve">governance trends,</w:t>
      </w:r>
    </w:p>
    <w:p>
      <w:pPr>
        <w:pStyle w:val="Compact"/>
        <w:numPr>
          <w:ilvl w:val="0"/>
          <w:numId w:val="1007"/>
        </w:numPr>
      </w:pPr>
      <w:r>
        <w:t xml:space="preserve">compliance continuity,</w:t>
      </w:r>
    </w:p>
    <w:p>
      <w:pPr>
        <w:pStyle w:val="Compact"/>
        <w:numPr>
          <w:ilvl w:val="0"/>
          <w:numId w:val="1007"/>
        </w:numPr>
      </w:pPr>
      <w:r>
        <w:t xml:space="preserve">enforcement evidence,</w:t>
      </w:r>
    </w:p>
    <w:p>
      <w:pPr>
        <w:pStyle w:val="Compact"/>
        <w:numPr>
          <w:ilvl w:val="0"/>
          <w:numId w:val="1007"/>
        </w:numPr>
      </w:pPr>
      <w:r>
        <w:t xml:space="preserve">institutional reporting outputs.</w:t>
      </w:r>
    </w:p>
    <w:p>
      <w:pPr>
        <w:pStyle w:val="FirstParagraph"/>
      </w:pPr>
      <w:r>
        <w:t xml:space="preserve">They do not receive unrestricted codebase visibility.</w:t>
      </w:r>
    </w:p>
    <w:bookmarkEnd w:id="38"/>
    <w:bookmarkStart w:id="39" w:name="standard-auditor"/>
    <w:p>
      <w:pPr>
        <w:pStyle w:val="Heading3"/>
      </w:pPr>
      <w:r>
        <w:t xml:space="preserve">Standard Auditor</w:t>
      </w:r>
    </w:p>
    <w:p>
      <w:pPr>
        <w:pStyle w:val="FirstParagraph"/>
      </w:pPr>
      <w:r>
        <w:t xml:space="preserve">Standard auditors represent enterprise or certification oriented oversight functions.</w:t>
      </w:r>
    </w:p>
    <w:p>
      <w:pPr>
        <w:pStyle w:val="BodyText"/>
      </w:pPr>
      <w:r>
        <w:t xml:space="preserve">Examples include:</w:t>
      </w:r>
    </w:p>
    <w:p>
      <w:pPr>
        <w:pStyle w:val="Compact"/>
        <w:numPr>
          <w:ilvl w:val="0"/>
          <w:numId w:val="1008"/>
        </w:numPr>
      </w:pPr>
      <w:r>
        <w:t xml:space="preserve">SOC2 auditors,</w:t>
      </w:r>
    </w:p>
    <w:p>
      <w:pPr>
        <w:pStyle w:val="Compact"/>
        <w:numPr>
          <w:ilvl w:val="0"/>
          <w:numId w:val="1008"/>
        </w:numPr>
      </w:pPr>
      <w:r>
        <w:t xml:space="preserve">ISO assessors,</w:t>
      </w:r>
    </w:p>
    <w:p>
      <w:pPr>
        <w:pStyle w:val="Compact"/>
        <w:numPr>
          <w:ilvl w:val="0"/>
          <w:numId w:val="1008"/>
        </w:numPr>
      </w:pPr>
      <w:r>
        <w:t xml:space="preserve">internal compliance teams,</w:t>
      </w:r>
    </w:p>
    <w:p>
      <w:pPr>
        <w:pStyle w:val="Compact"/>
        <w:numPr>
          <w:ilvl w:val="0"/>
          <w:numId w:val="1008"/>
        </w:numPr>
      </w:pPr>
      <w:r>
        <w:t xml:space="preserve">enterprise governance reviewers.</w:t>
      </w:r>
    </w:p>
    <w:p>
      <w:pPr>
        <w:pStyle w:val="FirstParagraph"/>
      </w:pPr>
      <w:r>
        <w:t xml:space="preserve">Their visibility is constrained to assigned organizational hubs.</w:t>
      </w:r>
    </w:p>
    <w:bookmarkEnd w:id="39"/>
    <w:bookmarkStart w:id="40" w:name="cross-hub-auditor"/>
    <w:p>
      <w:pPr>
        <w:pStyle w:val="Heading3"/>
      </w:pPr>
      <w:r>
        <w:t xml:space="preserve">Cross Hub Auditor</w:t>
      </w:r>
    </w:p>
    <w:p>
      <w:pPr>
        <w:pStyle w:val="FirstParagraph"/>
      </w:pPr>
      <w:r>
        <w:t xml:space="preserve">Cross hub auditors operate at the network observability layer.</w:t>
      </w:r>
    </w:p>
    <w:p>
      <w:pPr>
        <w:pStyle w:val="BodyText"/>
      </w:pPr>
      <w:r>
        <w:t xml:space="preserve">They are authorized to:</w:t>
      </w:r>
    </w:p>
    <w:p>
      <w:pPr>
        <w:pStyle w:val="Compact"/>
        <w:numPr>
          <w:ilvl w:val="0"/>
          <w:numId w:val="1009"/>
        </w:numPr>
      </w:pPr>
      <w:r>
        <w:t xml:space="preserve">observe governance telemetry across hubs,</w:t>
      </w:r>
    </w:p>
    <w:p>
      <w:pPr>
        <w:pStyle w:val="Compact"/>
        <w:numPr>
          <w:ilvl w:val="0"/>
          <w:numId w:val="1009"/>
        </w:numPr>
      </w:pPr>
      <w:r>
        <w:t xml:space="preserve">analyse drift patterns,</w:t>
      </w:r>
    </w:p>
    <w:p>
      <w:pPr>
        <w:pStyle w:val="Compact"/>
        <w:numPr>
          <w:ilvl w:val="0"/>
          <w:numId w:val="1009"/>
        </w:numPr>
      </w:pPr>
      <w:r>
        <w:t xml:space="preserve">inspect propagation continuity,</w:t>
      </w:r>
    </w:p>
    <w:p>
      <w:pPr>
        <w:pStyle w:val="Compact"/>
        <w:numPr>
          <w:ilvl w:val="0"/>
          <w:numId w:val="1009"/>
        </w:numPr>
      </w:pPr>
      <w:r>
        <w:t xml:space="preserve">evaluate operational mesh integrity.</w:t>
      </w:r>
    </w:p>
    <w:p>
      <w:pPr>
        <w:pStyle w:val="FirstParagraph"/>
      </w:pPr>
      <w:r>
        <w:t xml:space="preserve">They do not automatically receive sovereign enforcement authority.</w:t>
      </w:r>
    </w:p>
    <w:p>
      <w:r>
        <w:pict>
          <v:rect style="width:0;height:1.5pt" o:hralign="center" o:hrstd="t" o:hr="t"/>
        </w:pict>
      </w:r>
    </w:p>
    <w:bookmarkEnd w:id="40"/>
    <w:bookmarkEnd w:id="41"/>
    <w:bookmarkStart w:id="42" w:name="capability-manifest-model"/>
    <w:p>
      <w:pPr>
        <w:pStyle w:val="Heading2"/>
      </w:pPr>
      <w:r>
        <w:t xml:space="preserve">4.2 Capability Manifest Model</w:t>
      </w:r>
    </w:p>
    <w:p>
      <w:pPr>
        <w:pStyle w:val="FirstParagraph"/>
      </w:pPr>
      <w:r>
        <w:t xml:space="preserve">Each identity subtype carries a deterministic capability manifest.</w:t>
      </w:r>
    </w:p>
    <w:p>
      <w:pPr>
        <w:pStyle w:val="BodyText"/>
      </w:pPr>
      <w:r>
        <w:t xml:space="preserve">Capabilities are not represented as static boolean flags.</w:t>
      </w:r>
    </w:p>
    <w:p>
      <w:pPr>
        <w:pStyle w:val="BodyText"/>
      </w:pPr>
      <w:r>
        <w:t xml:space="preserve">Instead, every capability contains:</w:t>
      </w:r>
    </w:p>
    <w:p>
      <w:pPr>
        <w:pStyle w:val="Compact"/>
        <w:numPr>
          <w:ilvl w:val="0"/>
          <w:numId w:val="1010"/>
        </w:numPr>
      </w:pPr>
      <w:r>
        <w:t xml:space="preserve">capability identifier,</w:t>
      </w:r>
    </w:p>
    <w:p>
      <w:pPr>
        <w:pStyle w:val="Compact"/>
        <w:numPr>
          <w:ilvl w:val="0"/>
          <w:numId w:val="1010"/>
        </w:numPr>
      </w:pPr>
      <w:r>
        <w:t xml:space="preserve">issuing authority,</w:t>
      </w:r>
    </w:p>
    <w:p>
      <w:pPr>
        <w:pStyle w:val="Compact"/>
        <w:numPr>
          <w:ilvl w:val="0"/>
          <w:numId w:val="1010"/>
        </w:numPr>
      </w:pPr>
      <w:r>
        <w:t xml:space="preserve">activation timestamp,</w:t>
      </w:r>
    </w:p>
    <w:p>
      <w:pPr>
        <w:pStyle w:val="Compact"/>
        <w:numPr>
          <w:ilvl w:val="0"/>
          <w:numId w:val="1010"/>
        </w:numPr>
      </w:pPr>
      <w:r>
        <w:t xml:space="preserve">expiration timestamp,</w:t>
      </w:r>
    </w:p>
    <w:p>
      <w:pPr>
        <w:pStyle w:val="Compact"/>
        <w:numPr>
          <w:ilvl w:val="0"/>
          <w:numId w:val="1010"/>
        </w:numPr>
      </w:pPr>
      <w:r>
        <w:t xml:space="preserve">operational justification,</w:t>
      </w:r>
    </w:p>
    <w:p>
      <w:pPr>
        <w:pStyle w:val="Compact"/>
        <w:numPr>
          <w:ilvl w:val="0"/>
          <w:numId w:val="1010"/>
        </w:numPr>
      </w:pPr>
      <w:r>
        <w:t xml:space="preserve">jurisdictional bindings,</w:t>
      </w:r>
    </w:p>
    <w:p>
      <w:pPr>
        <w:pStyle w:val="Compact"/>
        <w:numPr>
          <w:ilvl w:val="0"/>
          <w:numId w:val="1010"/>
        </w:numPr>
      </w:pPr>
      <w:r>
        <w:t xml:space="preserve">evidence lineage metadata.</w:t>
      </w:r>
    </w:p>
    <w:p>
      <w:pPr>
        <w:pStyle w:val="FirstParagraph"/>
      </w:pPr>
      <w:r>
        <w:t xml:space="preserve">Example capability manifest:</w:t>
      </w:r>
    </w:p>
    <w:p>
      <w:pPr>
        <w:pStyle w:val="SourceCode"/>
      </w:pP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StringTok"/>
        </w:rPr>
        <w:t xml:space="preserve">"can_replay"</w:t>
      </w:r>
      <w:r>
        <w:rPr>
          <w:rStyle w:val="FunctionTok"/>
        </w:rPr>
        <w:t xml:space="preserve">,</w:t>
      </w:r>
      <w:r>
        <w:br/>
      </w:r>
      <w:r>
        <w:rPr>
          <w:rStyle w:val="NormalTok"/>
        </w:rPr>
        <w:t xml:space="preserve">  </w:t>
      </w:r>
      <w:r>
        <w:rPr>
          <w:rStyle w:val="DataTypeTok"/>
        </w:rPr>
        <w:t xml:space="preserve">"granted_by"</w:t>
      </w:r>
      <w:r>
        <w:rPr>
          <w:rStyle w:val="FunctionTok"/>
        </w:rPr>
        <w:t xml:space="preserve">:</w:t>
      </w:r>
      <w:r>
        <w:rPr>
          <w:rStyle w:val="NormalTok"/>
        </w:rPr>
        <w:t xml:space="preserve"> </w:t>
      </w:r>
      <w:r>
        <w:rPr>
          <w:rStyle w:val="StringTok"/>
        </w:rPr>
        <w:t xml:space="preserve">"ROOT-GOV-IN"</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"incident_investigation"</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"2026-07-01T09:00:00Z"</w:t>
      </w:r>
      <w:r>
        <w:br/>
      </w:r>
      <w:r>
        <w:rPr>
          <w:rStyle w:val="FunctionTok"/>
        </w:rPr>
        <w:t xml:space="preserve">}</w:t>
      </w:r>
    </w:p>
    <w:p>
      <w:pPr>
        <w:pStyle w:val="FirstParagraph"/>
      </w:pPr>
      <w:r>
        <w:t xml:space="preserve">This transforms governance from static authorization into runtime institutional delegation.</w:t>
      </w:r>
    </w:p>
    <w:p>
      <w:r>
        <w:pict>
          <v:rect style="width:0;height:1.5pt" o:hralign="center" o:hrstd="t" o:hr="t"/>
        </w:pict>
      </w:r>
    </w:p>
    <w:bookmarkEnd w:id="42"/>
    <w:bookmarkEnd w:id="43"/>
    <w:bookmarkStart w:id="47" w:name="governance-activation-protocol"/>
    <w:p>
      <w:pPr>
        <w:pStyle w:val="Heading1"/>
      </w:pPr>
      <w:r>
        <w:t xml:space="preserve">5. Governance Activation Protocol</w:t>
      </w:r>
    </w:p>
    <w:bookmarkStart w:id="44" w:name="delegated-authority"/>
    <w:p>
      <w:pPr>
        <w:pStyle w:val="Heading2"/>
      </w:pPr>
      <w:r>
        <w:t xml:space="preserve">5.1 Delegated Authority</w:t>
      </w:r>
    </w:p>
    <w:p>
      <w:pPr>
        <w:pStyle w:val="FirstParagraph"/>
      </w:pPr>
      <w:r>
        <w:t xml:space="preserve">Anchor Runtime introduces the Governance Activation Protocol.</w:t>
      </w:r>
    </w:p>
    <w:p>
      <w:pPr>
        <w:pStyle w:val="BodyText"/>
      </w:pPr>
      <w:r>
        <w:t xml:space="preserve">Sensitive operations such as:</w:t>
      </w:r>
    </w:p>
    <w:p>
      <w:pPr>
        <w:pStyle w:val="Compact"/>
        <w:numPr>
          <w:ilvl w:val="0"/>
          <w:numId w:val="1011"/>
        </w:numPr>
      </w:pPr>
      <w:r>
        <w:t xml:space="preserve">forensic replay,</w:t>
      </w:r>
    </w:p>
    <w:p>
      <w:pPr>
        <w:pStyle w:val="Compact"/>
        <w:numPr>
          <w:ilvl w:val="0"/>
          <w:numId w:val="1011"/>
        </w:numPr>
      </w:pPr>
      <w:r>
        <w:t xml:space="preserve">raw evidence extraction,</w:t>
      </w:r>
    </w:p>
    <w:p>
      <w:pPr>
        <w:pStyle w:val="Compact"/>
        <w:numPr>
          <w:ilvl w:val="0"/>
          <w:numId w:val="1011"/>
        </w:numPr>
      </w:pPr>
      <w:r>
        <w:t xml:space="preserve">runtime reconstruction,</w:t>
      </w:r>
    </w:p>
    <w:p>
      <w:pPr>
        <w:pStyle w:val="Compact"/>
        <w:numPr>
          <w:ilvl w:val="0"/>
          <w:numId w:val="1011"/>
        </w:numPr>
      </w:pPr>
      <w:r>
        <w:t xml:space="preserve">governance export,</w:t>
      </w:r>
    </w:p>
    <w:p>
      <w:pPr>
        <w:pStyle w:val="Compact"/>
        <w:numPr>
          <w:ilvl w:val="0"/>
          <w:numId w:val="1011"/>
        </w:numPr>
      </w:pPr>
      <w:r>
        <w:t xml:space="preserve">enforcement issuance</w:t>
      </w:r>
    </w:p>
    <w:p>
      <w:pPr>
        <w:pStyle w:val="FirstParagraph"/>
      </w:pPr>
      <w:r>
        <w:t xml:space="preserve">cannot be executed directly.</w:t>
      </w:r>
    </w:p>
    <w:p>
      <w:pPr>
        <w:pStyle w:val="BodyText"/>
      </w:pPr>
      <w:r>
        <w:t xml:space="preserve">Instead, the requesting entity must initiate a governance activation request.</w:t>
      </w:r>
    </w:p>
    <w:p>
      <w:r>
        <w:pict>
          <v:rect style="width:0;height:1.5pt" o:hralign="center" o:hrstd="t" o:hr="t"/>
        </w:pict>
      </w:r>
    </w:p>
    <w:bookmarkEnd w:id="44"/>
    <w:bookmarkStart w:id="45" w:name="access-request-lifecycle"/>
    <w:p>
      <w:pPr>
        <w:pStyle w:val="Heading2"/>
      </w:pPr>
      <w:r>
        <w:t xml:space="preserve">5.2 Access Request Lifecycle</w:t>
      </w:r>
    </w:p>
    <w:p>
      <w:pPr>
        <w:pStyle w:val="FirstParagraph"/>
      </w:pPr>
      <w:r>
        <w:t xml:space="preserve">The lifecycle consists of:</w:t>
      </w:r>
    </w:p>
    <w:p>
      <w:pPr>
        <w:pStyle w:val="Compact"/>
        <w:numPr>
          <w:ilvl w:val="0"/>
          <w:numId w:val="1012"/>
        </w:numPr>
      </w:pPr>
      <w:r>
        <w:t xml:space="preserve">Request creation.</w:t>
      </w:r>
    </w:p>
    <w:p>
      <w:pPr>
        <w:pStyle w:val="Compact"/>
        <w:numPr>
          <w:ilvl w:val="0"/>
          <w:numId w:val="1012"/>
        </w:numPr>
      </w:pPr>
      <w:r>
        <w:t xml:space="preserve">Purpose declaration.</w:t>
      </w:r>
    </w:p>
    <w:p>
      <w:pPr>
        <w:pStyle w:val="Compact"/>
        <w:numPr>
          <w:ilvl w:val="0"/>
          <w:numId w:val="1012"/>
        </w:numPr>
      </w:pPr>
      <w:r>
        <w:t xml:space="preserve">Institutional review.</w:t>
      </w:r>
    </w:p>
    <w:p>
      <w:pPr>
        <w:pStyle w:val="Compact"/>
        <w:numPr>
          <w:ilvl w:val="0"/>
          <w:numId w:val="1012"/>
        </w:numPr>
      </w:pPr>
      <w:r>
        <w:t xml:space="preserve">Approval or rejection.</w:t>
      </w:r>
    </w:p>
    <w:p>
      <w:pPr>
        <w:pStyle w:val="Compact"/>
        <w:numPr>
          <w:ilvl w:val="0"/>
          <w:numId w:val="1012"/>
        </w:numPr>
      </w:pPr>
      <w:r>
        <w:t xml:space="preserve">Temporary governance token issuance.</w:t>
      </w:r>
    </w:p>
    <w:p>
      <w:pPr>
        <w:pStyle w:val="Compact"/>
        <w:numPr>
          <w:ilvl w:val="0"/>
          <w:numId w:val="1012"/>
        </w:numPr>
      </w:pPr>
      <w:r>
        <w:t xml:space="preserve">Automatic revocation.</w:t>
      </w:r>
    </w:p>
    <w:p>
      <w:pPr>
        <w:pStyle w:val="FirstParagraph"/>
      </w:pPr>
      <w:r>
        <w:t xml:space="preserve">Each activation request generates a lineage identifier.</w:t>
      </w:r>
    </w:p>
    <w:p>
      <w:pPr>
        <w:pStyle w:val="BodyText"/>
      </w:pPr>
      <w:r>
        <w:t xml:space="preserve">Example:</w:t>
      </w:r>
    </w:p>
    <w:p>
      <w:pPr>
        <w:pStyle w:val="SourceCode"/>
      </w:pPr>
      <w:r>
        <w:rPr>
          <w:rStyle w:val="VerbatimChar"/>
        </w:rPr>
        <w:t xml:space="preserve">LIN-8A17D92F</w:t>
      </w:r>
    </w:p>
    <w:p>
      <w:pPr>
        <w:pStyle w:val="FirstParagraph"/>
      </w:pPr>
      <w:r>
        <w:t xml:space="preserve">All subsequent actions performed under the delegated privilege become cryptographically linked to this lineage chain.</w:t>
      </w:r>
    </w:p>
    <w:p>
      <w:r>
        <w:pict>
          <v:rect style="width:0;height:1.5pt" o:hralign="center" o:hrstd="t" o:hr="t"/>
        </w:pict>
      </w:r>
    </w:p>
    <w:bookmarkEnd w:id="45"/>
    <w:bookmarkStart w:id="46" w:name="temporary-governance-tokens"/>
    <w:p>
      <w:pPr>
        <w:pStyle w:val="Heading2"/>
      </w:pPr>
      <w:r>
        <w:t xml:space="preserve">5.3 Temporary Governance Tokens</w:t>
      </w:r>
    </w:p>
    <w:p>
      <w:pPr>
        <w:pStyle w:val="FirstParagraph"/>
      </w:pPr>
      <w:r>
        <w:t xml:space="preserve">Anchor Runtime separates governance activation from primary session authentication.</w:t>
      </w:r>
    </w:p>
    <w:p>
      <w:pPr>
        <w:pStyle w:val="BodyText"/>
      </w:pPr>
      <w:r>
        <w:t xml:space="preserve">The system issues short lived Temporary Governance Tokens.</w:t>
      </w:r>
    </w:p>
    <w:p>
      <w:pPr>
        <w:pStyle w:val="BodyText"/>
      </w:pPr>
      <w:r>
        <w:t xml:space="preserve">These tokens:</w:t>
      </w:r>
    </w:p>
    <w:p>
      <w:pPr>
        <w:pStyle w:val="Compact"/>
        <w:numPr>
          <w:ilvl w:val="0"/>
          <w:numId w:val="1013"/>
        </w:numPr>
      </w:pPr>
      <w:r>
        <w:t xml:space="preserve">are capability specific,</w:t>
      </w:r>
    </w:p>
    <w:p>
      <w:pPr>
        <w:pStyle w:val="Compact"/>
        <w:numPr>
          <w:ilvl w:val="0"/>
          <w:numId w:val="1013"/>
        </w:numPr>
      </w:pPr>
      <w:r>
        <w:t xml:space="preserve">are time constrained,</w:t>
      </w:r>
    </w:p>
    <w:p>
      <w:pPr>
        <w:pStyle w:val="Compact"/>
        <w:numPr>
          <w:ilvl w:val="0"/>
          <w:numId w:val="1013"/>
        </w:numPr>
      </w:pPr>
      <w:r>
        <w:t xml:space="preserve">are cryptographically signed,</w:t>
      </w:r>
    </w:p>
    <w:p>
      <w:pPr>
        <w:pStyle w:val="Compact"/>
        <w:numPr>
          <w:ilvl w:val="0"/>
          <w:numId w:val="1013"/>
        </w:numPr>
      </w:pPr>
      <w:r>
        <w:t xml:space="preserve">are lineage bound,</w:t>
      </w:r>
    </w:p>
    <w:p>
      <w:pPr>
        <w:pStyle w:val="Compact"/>
        <w:numPr>
          <w:ilvl w:val="0"/>
          <w:numId w:val="1013"/>
        </w:numPr>
      </w:pPr>
      <w:r>
        <w:t xml:space="preserve">and are revocable in real time.</w:t>
      </w:r>
    </w:p>
    <w:p>
      <w:pPr>
        <w:pStyle w:val="FirstParagraph"/>
      </w:pPr>
      <w:r>
        <w:t xml:space="preserve">This architecture prevents privilege persistence after investigative workflows conclude.</w:t>
      </w:r>
    </w:p>
    <w:p>
      <w:r>
        <w:pict>
          <v:rect style="width:0;height:1.5pt" o:hralign="center" o:hrstd="t" o:hr="t"/>
        </w:pict>
      </w:r>
    </w:p>
    <w:bookmarkEnd w:id="46"/>
    <w:bookmarkEnd w:id="47"/>
    <w:bookmarkStart w:id="51" w:name="runtime-enforcement-planes"/>
    <w:p>
      <w:pPr>
        <w:pStyle w:val="Heading1"/>
      </w:pPr>
      <w:r>
        <w:t xml:space="preserve">6. Runtime Enforcement Planes</w:t>
      </w:r>
    </w:p>
    <w:p>
      <w:pPr>
        <w:pStyle w:val="FirstParagraph"/>
      </w:pPr>
      <w:r>
        <w:t xml:space="preserve">Anchor Runtime separates operational governance into deterministic enforcement planes.</w:t>
      </w:r>
    </w:p>
    <w:p>
      <w:r>
        <w:pict>
          <v:rect style="width:0;height:1.5pt" o:hralign="center" o:hrstd="t" o:hr="t"/>
        </w:pict>
      </w:r>
    </w:p>
    <w:bookmarkStart w:id="48" w:name="enterprise-plane"/>
    <w:p>
      <w:pPr>
        <w:pStyle w:val="Heading2"/>
      </w:pPr>
      <w:r>
        <w:t xml:space="preserve">6.1 Enterprise Plane</w:t>
      </w:r>
    </w:p>
    <w:p>
      <w:pPr>
        <w:pStyle w:val="FirstParagraph"/>
      </w:pPr>
      <w:r>
        <w:t xml:space="preserve">The enterprise plane governs organizational operations.</w:t>
      </w:r>
    </w:p>
    <w:p>
      <w:pPr>
        <w:pStyle w:val="BodyText"/>
      </w:pPr>
      <w:r>
        <w:t xml:space="preserve">Capabilities include:</w:t>
      </w:r>
    </w:p>
    <w:p>
      <w:pPr>
        <w:pStyle w:val="Compact"/>
        <w:numPr>
          <w:ilvl w:val="0"/>
          <w:numId w:val="1014"/>
        </w:numPr>
      </w:pPr>
      <w:r>
        <w:t xml:space="preserve">project management,</w:t>
      </w:r>
    </w:p>
    <w:p>
      <w:pPr>
        <w:pStyle w:val="Compact"/>
        <w:numPr>
          <w:ilvl w:val="0"/>
          <w:numId w:val="1014"/>
        </w:numPr>
      </w:pPr>
      <w:r>
        <w:t xml:space="preserve">governance telemetry,</w:t>
      </w:r>
    </w:p>
    <w:p>
      <w:pPr>
        <w:pStyle w:val="Compact"/>
        <w:numPr>
          <w:ilvl w:val="0"/>
          <w:numId w:val="1014"/>
        </w:numPr>
      </w:pPr>
      <w:r>
        <w:t xml:space="preserve">operational audits,</w:t>
      </w:r>
    </w:p>
    <w:p>
      <w:pPr>
        <w:pStyle w:val="Compact"/>
        <w:numPr>
          <w:ilvl w:val="0"/>
          <w:numId w:val="1014"/>
        </w:numPr>
      </w:pPr>
      <w:r>
        <w:t xml:space="preserve">policy synchronization,</w:t>
      </w:r>
    </w:p>
    <w:p>
      <w:pPr>
        <w:pStyle w:val="Compact"/>
        <w:numPr>
          <w:ilvl w:val="0"/>
          <w:numId w:val="1014"/>
        </w:numPr>
      </w:pPr>
      <w:r>
        <w:t xml:space="preserve">organizational observability.</w:t>
      </w:r>
    </w:p>
    <w:p>
      <w:pPr>
        <w:pStyle w:val="FirstParagraph"/>
      </w:pPr>
      <w:r>
        <w:t xml:space="preserve">This layer is operational rather than sovereign.</w:t>
      </w:r>
    </w:p>
    <w:p>
      <w:r>
        <w:pict>
          <v:rect style="width:0;height:1.5pt" o:hralign="center" o:hrstd="t" o:hr="t"/>
        </w:pict>
      </w:r>
    </w:p>
    <w:bookmarkEnd w:id="48"/>
    <w:bookmarkStart w:id="49" w:name="cross-hub-plane"/>
    <w:p>
      <w:pPr>
        <w:pStyle w:val="Heading2"/>
      </w:pPr>
      <w:r>
        <w:t xml:space="preserve">6.2 Cross Hub Plane</w:t>
      </w:r>
    </w:p>
    <w:p>
      <w:pPr>
        <w:pStyle w:val="FirstParagraph"/>
      </w:pPr>
      <w:r>
        <w:t xml:space="preserve">The cross hub plane governs distributed observability.</w:t>
      </w:r>
    </w:p>
    <w:p>
      <w:pPr>
        <w:pStyle w:val="BodyText"/>
      </w:pPr>
      <w:r>
        <w:t xml:space="preserve">Capabilities include:</w:t>
      </w:r>
    </w:p>
    <w:p>
      <w:pPr>
        <w:pStyle w:val="Compact"/>
        <w:numPr>
          <w:ilvl w:val="0"/>
          <w:numId w:val="1015"/>
        </w:numPr>
      </w:pPr>
      <w:r>
        <w:t xml:space="preserve">heatmap analysis,</w:t>
      </w:r>
    </w:p>
    <w:p>
      <w:pPr>
        <w:pStyle w:val="Compact"/>
        <w:numPr>
          <w:ilvl w:val="0"/>
          <w:numId w:val="1015"/>
        </w:numPr>
      </w:pPr>
      <w:r>
        <w:t xml:space="preserve">drift monitoring,</w:t>
      </w:r>
    </w:p>
    <w:p>
      <w:pPr>
        <w:pStyle w:val="Compact"/>
        <w:numPr>
          <w:ilvl w:val="0"/>
          <w:numId w:val="1015"/>
        </w:numPr>
      </w:pPr>
      <w:r>
        <w:t xml:space="preserve">propagation integrity,</w:t>
      </w:r>
    </w:p>
    <w:p>
      <w:pPr>
        <w:pStyle w:val="Compact"/>
        <w:numPr>
          <w:ilvl w:val="0"/>
          <w:numId w:val="1015"/>
        </w:numPr>
      </w:pPr>
      <w:r>
        <w:t xml:space="preserve">cross entity search,</w:t>
      </w:r>
    </w:p>
    <w:p>
      <w:pPr>
        <w:pStyle w:val="Compact"/>
        <w:numPr>
          <w:ilvl w:val="0"/>
          <w:numId w:val="1015"/>
        </w:numPr>
      </w:pPr>
      <w:r>
        <w:t xml:space="preserve">governance synchronization.</w:t>
      </w:r>
    </w:p>
    <w:p>
      <w:pPr>
        <w:pStyle w:val="FirstParagraph"/>
      </w:pPr>
      <w:r>
        <w:t xml:space="preserve">This layer treats the governance mesh as a distributed runtime system.</w:t>
      </w:r>
    </w:p>
    <w:p>
      <w:r>
        <w:pict>
          <v:rect style="width:0;height:1.5pt" o:hralign="center" o:hrstd="t" o:hr="t"/>
        </w:pict>
      </w:r>
    </w:p>
    <w:bookmarkEnd w:id="49"/>
    <w:bookmarkStart w:id="50" w:name="sovereign-oversight-plane"/>
    <w:p>
      <w:pPr>
        <w:pStyle w:val="Heading2"/>
      </w:pPr>
      <w:r>
        <w:t xml:space="preserve">6.3 Sovereign Oversight Plane</w:t>
      </w:r>
    </w:p>
    <w:p>
      <w:pPr>
        <w:pStyle w:val="FirstParagraph"/>
      </w:pPr>
      <w:r>
        <w:t xml:space="preserve">The sovereign oversight plane governs institutional accountability.</w:t>
      </w:r>
    </w:p>
    <w:p>
      <w:pPr>
        <w:pStyle w:val="BodyText"/>
      </w:pPr>
      <w:r>
        <w:t xml:space="preserve">Capabilities include:</w:t>
      </w:r>
    </w:p>
    <w:p>
      <w:pPr>
        <w:pStyle w:val="Compact"/>
        <w:numPr>
          <w:ilvl w:val="0"/>
          <w:numId w:val="1016"/>
        </w:numPr>
      </w:pPr>
      <w:r>
        <w:t xml:space="preserve">replay authorization,</w:t>
      </w:r>
    </w:p>
    <w:p>
      <w:pPr>
        <w:pStyle w:val="Compact"/>
        <w:numPr>
          <w:ilvl w:val="0"/>
          <w:numId w:val="1016"/>
        </w:numPr>
      </w:pPr>
      <w:r>
        <w:t xml:space="preserve">evidence export,</w:t>
      </w:r>
    </w:p>
    <w:p>
      <w:pPr>
        <w:pStyle w:val="Compact"/>
        <w:numPr>
          <w:ilvl w:val="0"/>
          <w:numId w:val="1016"/>
        </w:numPr>
      </w:pPr>
      <w:r>
        <w:t xml:space="preserve">chain verification,</w:t>
      </w:r>
    </w:p>
    <w:p>
      <w:pPr>
        <w:pStyle w:val="Compact"/>
        <w:numPr>
          <w:ilvl w:val="0"/>
          <w:numId w:val="1016"/>
        </w:numPr>
      </w:pPr>
      <w:r>
        <w:t xml:space="preserve">enforcement issuance,</w:t>
      </w:r>
    </w:p>
    <w:p>
      <w:pPr>
        <w:pStyle w:val="Compact"/>
        <w:numPr>
          <w:ilvl w:val="0"/>
          <w:numId w:val="1016"/>
        </w:numPr>
      </w:pPr>
      <w:r>
        <w:t xml:space="preserve">forensic reconstruction.</w:t>
      </w:r>
    </w:p>
    <w:p>
      <w:pPr>
        <w:pStyle w:val="FirstParagraph"/>
      </w:pPr>
      <w:r>
        <w:t xml:space="preserve">This plane operates under strict backend enforced visibility constraints.</w:t>
      </w:r>
    </w:p>
    <w:p>
      <w:r>
        <w:pict>
          <v:rect style="width:0;height:1.5pt" o:hralign="center" o:hrstd="t" o:hr="t"/>
        </w:pict>
      </w:r>
    </w:p>
    <w:bookmarkEnd w:id="50"/>
    <w:bookmarkEnd w:id="51"/>
    <w:bookmarkStart w:id="55" w:name="evidentiary-lineage-chains"/>
    <w:p>
      <w:pPr>
        <w:pStyle w:val="Heading1"/>
      </w:pPr>
      <w:r>
        <w:t xml:space="preserve">7. Evidentiary Lineage Chains</w:t>
      </w:r>
    </w:p>
    <w:bookmarkStart w:id="52" w:name="the-evidence-continuity-problem"/>
    <w:p>
      <w:pPr>
        <w:pStyle w:val="Heading2"/>
      </w:pPr>
      <w:r>
        <w:t xml:space="preserve">7.1 The Evidence Continuity Problem</w:t>
      </w:r>
    </w:p>
    <w:p>
      <w:pPr>
        <w:pStyle w:val="FirstParagraph"/>
      </w:pPr>
      <w:r>
        <w:t xml:space="preserve">Traditional audit systems preserve logs but fail to preserve reconstructable institutional continuity.</w:t>
      </w:r>
    </w:p>
    <w:p>
      <w:pPr>
        <w:pStyle w:val="BodyText"/>
      </w:pPr>
      <w:r>
        <w:t xml:space="preserve">An investigator may know:</w:t>
      </w:r>
    </w:p>
    <w:p>
      <w:pPr>
        <w:pStyle w:val="Compact"/>
        <w:numPr>
          <w:ilvl w:val="0"/>
          <w:numId w:val="1017"/>
        </w:numPr>
      </w:pPr>
      <w:r>
        <w:t xml:space="preserve">that an action occurred,</w:t>
      </w:r>
    </w:p>
    <w:p>
      <w:pPr>
        <w:pStyle w:val="Compact"/>
        <w:numPr>
          <w:ilvl w:val="0"/>
          <w:numId w:val="1017"/>
        </w:numPr>
      </w:pPr>
      <w:r>
        <w:t xml:space="preserve">when it occurred,</w:t>
      </w:r>
    </w:p>
    <w:p>
      <w:pPr>
        <w:pStyle w:val="Compact"/>
        <w:numPr>
          <w:ilvl w:val="0"/>
          <w:numId w:val="1017"/>
        </w:numPr>
      </w:pPr>
      <w:r>
        <w:t xml:space="preserve">and which system executed it.</w:t>
      </w:r>
    </w:p>
    <w:p>
      <w:pPr>
        <w:pStyle w:val="FirstParagraph"/>
      </w:pPr>
      <w:r>
        <w:t xml:space="preserve">But the system frequently cannot reconstruct:</w:t>
      </w:r>
    </w:p>
    <w:p>
      <w:pPr>
        <w:pStyle w:val="Compact"/>
        <w:numPr>
          <w:ilvl w:val="0"/>
          <w:numId w:val="1018"/>
        </w:numPr>
      </w:pPr>
      <w:r>
        <w:t xml:space="preserve">which policy state existed,</w:t>
      </w:r>
    </w:p>
    <w:p>
      <w:pPr>
        <w:pStyle w:val="Compact"/>
        <w:numPr>
          <w:ilvl w:val="0"/>
          <w:numId w:val="1018"/>
        </w:numPr>
      </w:pPr>
      <w:r>
        <w:t xml:space="preserve">which institutional authority approved the action,</w:t>
      </w:r>
    </w:p>
    <w:p>
      <w:pPr>
        <w:pStyle w:val="Compact"/>
        <w:numPr>
          <w:ilvl w:val="0"/>
          <w:numId w:val="1018"/>
        </w:numPr>
      </w:pPr>
      <w:r>
        <w:t xml:space="preserve">which runtime context governed execution,</w:t>
      </w:r>
    </w:p>
    <w:p>
      <w:pPr>
        <w:pStyle w:val="Compact"/>
        <w:numPr>
          <w:ilvl w:val="0"/>
          <w:numId w:val="1018"/>
        </w:numPr>
      </w:pPr>
      <w:r>
        <w:t xml:space="preserve">which operational chain preceded the event.</w:t>
      </w:r>
    </w:p>
    <w:p>
      <w:pPr>
        <w:pStyle w:val="FirstParagraph"/>
      </w:pPr>
      <w:r>
        <w:t xml:space="preserve">Anchor Runtime addresses this through Evidentiary Lineage Chains.</w:t>
      </w:r>
    </w:p>
    <w:p>
      <w:r>
        <w:pict>
          <v:rect style="width:0;height:1.5pt" o:hralign="center" o:hrstd="t" o:hr="t"/>
        </w:pict>
      </w:r>
    </w:p>
    <w:bookmarkEnd w:id="52"/>
    <w:bookmarkStart w:id="53" w:name="lineage-structure"/>
    <w:p>
      <w:pPr>
        <w:pStyle w:val="Heading2"/>
      </w:pPr>
      <w:r>
        <w:t xml:space="preserve">7.2 Lineage Structure</w:t>
      </w:r>
    </w:p>
    <w:p>
      <w:pPr>
        <w:pStyle w:val="FirstParagraph"/>
      </w:pPr>
      <w:r>
        <w:t xml:space="preserve">Each governance artifact contains:</w:t>
      </w:r>
    </w:p>
    <w:p>
      <w:pPr>
        <w:pStyle w:val="Compact"/>
        <w:numPr>
          <w:ilvl w:val="0"/>
          <w:numId w:val="1019"/>
        </w:numPr>
      </w:pPr>
      <w:r>
        <w:t xml:space="preserve">origin spoke,</w:t>
      </w:r>
    </w:p>
    <w:p>
      <w:pPr>
        <w:pStyle w:val="Compact"/>
        <w:numPr>
          <w:ilvl w:val="0"/>
          <w:numId w:val="1019"/>
        </w:numPr>
      </w:pPr>
      <w:r>
        <w:t xml:space="preserve">constitutional version,</w:t>
      </w:r>
    </w:p>
    <w:p>
      <w:pPr>
        <w:pStyle w:val="Compact"/>
        <w:numPr>
          <w:ilvl w:val="0"/>
          <w:numId w:val="1019"/>
        </w:numPr>
      </w:pPr>
      <w:r>
        <w:t xml:space="preserve">capability lineage,</w:t>
      </w:r>
    </w:p>
    <w:p>
      <w:pPr>
        <w:pStyle w:val="Compact"/>
        <w:numPr>
          <w:ilvl w:val="0"/>
          <w:numId w:val="1019"/>
        </w:numPr>
      </w:pPr>
      <w:r>
        <w:t xml:space="preserve">operational hash lineage,</w:t>
      </w:r>
    </w:p>
    <w:p>
      <w:pPr>
        <w:pStyle w:val="Compact"/>
        <w:numPr>
          <w:ilvl w:val="0"/>
          <w:numId w:val="1019"/>
        </w:numPr>
      </w:pPr>
      <w:r>
        <w:t xml:space="preserve">replay context,</w:t>
      </w:r>
    </w:p>
    <w:p>
      <w:pPr>
        <w:pStyle w:val="Compact"/>
        <w:numPr>
          <w:ilvl w:val="0"/>
          <w:numId w:val="1019"/>
        </w:numPr>
      </w:pPr>
      <w:r>
        <w:t xml:space="preserve">jurisdictional translation metadata.</w:t>
      </w:r>
    </w:p>
    <w:p>
      <w:pPr>
        <w:pStyle w:val="FirstParagraph"/>
      </w:pPr>
      <w:r>
        <w:t xml:space="preserve">Example evidence metadata:</w:t>
      </w:r>
    </w:p>
    <w:p>
      <w:pPr>
        <w:pStyle w:val="SourceCode"/>
      </w:pPr>
      <w:r>
        <w:rPr>
          <w:rStyle w:val="FunctionTok"/>
        </w:rPr>
        <w:t xml:space="preserve">{</w:t>
      </w:r>
      <w:r>
        <w:br/>
      </w:r>
      <w:r>
        <w:rPr>
          <w:rStyle w:val="NormalTok"/>
        </w:rPr>
        <w:t xml:space="preserve">  </w:t>
      </w:r>
      <w:r>
        <w:rPr>
          <w:rStyle w:val="DataTypeTok"/>
        </w:rPr>
        <w:t xml:space="preserve">"origin_spoke"</w:t>
      </w:r>
      <w:r>
        <w:rPr>
          <w:rStyle w:val="FunctionTok"/>
        </w:rPr>
        <w:t xml:space="preserve">:</w:t>
      </w:r>
      <w:r>
        <w:rPr>
          <w:rStyle w:val="NormalTok"/>
        </w:rPr>
        <w:t xml:space="preserve"> </w:t>
      </w:r>
      <w:r>
        <w:rPr>
          <w:rStyle w:val="StringTok"/>
        </w:rPr>
        <w:t xml:space="preserve">"AN-SOL-01"</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StringTok"/>
        </w:rPr>
        <w:t xml:space="preserve">"v6.2.1"</w:t>
      </w:r>
      <w:r>
        <w:rPr>
          <w:rStyle w:val="FunctionTok"/>
        </w:rPr>
        <w:t xml:space="preserve">,</w:t>
      </w:r>
      <w:r>
        <w:br/>
      </w:r>
      <w:r>
        <w:rPr>
          <w:rStyle w:val="NormalTok"/>
        </w:rPr>
        <w:t xml:space="preserve">  </w:t>
      </w:r>
      <w:r>
        <w:rPr>
          <w:rStyle w:val="DataTypeTok"/>
        </w:rPr>
        <w:t xml:space="preserve">"hash_lineage"</w:t>
      </w:r>
      <w:r>
        <w:rPr>
          <w:rStyle w:val="FunctionTok"/>
        </w:rPr>
        <w:t xml:space="preserve">:</w:t>
      </w:r>
      <w:r>
        <w:rPr>
          <w:rStyle w:val="NormalTok"/>
        </w:rPr>
        <w:t xml:space="preserve"> </w:t>
      </w:r>
      <w:r>
        <w:rPr>
          <w:rStyle w:val="StringTok"/>
        </w:rPr>
        <w:t xml:space="preserve">"sha256:7bd2..."</w:t>
      </w:r>
      <w:r>
        <w:rPr>
          <w:rStyle w:val="FunctionTok"/>
        </w:rPr>
        <w:t xml:space="preserve">,</w:t>
      </w:r>
      <w:r>
        <w:br/>
      </w:r>
      <w:r>
        <w:rPr>
          <w:rStyle w:val="NormalTok"/>
        </w:rPr>
        <w:t xml:space="preserve">  </w:t>
      </w:r>
      <w:r>
        <w:rPr>
          <w:rStyle w:val="DataTypeTok"/>
        </w:rPr>
        <w:t xml:space="preserve">"jurisdiction"</w:t>
      </w:r>
      <w:r>
        <w:rPr>
          <w:rStyle w:val="FunctionTok"/>
        </w:rPr>
        <w:t xml:space="preserve">:</w:t>
      </w:r>
      <w:r>
        <w:rPr>
          <w:rStyle w:val="NormalTok"/>
        </w:rPr>
        <w:t xml:space="preserve"> </w:t>
      </w:r>
      <w:r>
        <w:rPr>
          <w:rStyle w:val="StringTok"/>
        </w:rPr>
        <w:t xml:space="preserve">"RBI"</w:t>
      </w:r>
      <w:r>
        <w:br/>
      </w:r>
      <w:r>
        <w:rPr>
          <w:rStyle w:val="FunctionTok"/>
        </w:rPr>
        <w:t xml:space="preserve">}</w:t>
      </w:r>
    </w:p>
    <w:p>
      <w:pPr>
        <w:pStyle w:val="FirstParagraph"/>
      </w:pPr>
      <w:r>
        <w:t xml:space="preserve">This enables deterministic reconstruction of institutional governance state.</w:t>
      </w:r>
    </w:p>
    <w:p>
      <w:r>
        <w:pict>
          <v:rect style="width:0;height:1.5pt" o:hralign="center" o:hrstd="t" o:hr="t"/>
        </w:pict>
      </w:r>
    </w:p>
    <w:bookmarkEnd w:id="53"/>
    <w:bookmarkStart w:id="54" w:name="jurisdictional-seals"/>
    <w:p>
      <w:pPr>
        <w:pStyle w:val="Heading2"/>
      </w:pPr>
      <w:r>
        <w:t xml:space="preserve">7.3 Jurisdictional Seals</w:t>
      </w:r>
    </w:p>
    <w:p>
      <w:pPr>
        <w:pStyle w:val="FirstParagraph"/>
      </w:pPr>
      <w:r>
        <w:t xml:space="preserve">Exported evidence artifacts receive a jurisdictional seal.</w:t>
      </w:r>
    </w:p>
    <w:p>
      <w:pPr>
        <w:pStyle w:val="BodyText"/>
      </w:pPr>
      <w:r>
        <w:t xml:space="preserve">The seal is computed over:</w:t>
      </w:r>
    </w:p>
    <w:p>
      <w:pPr>
        <w:pStyle w:val="Compact"/>
        <w:numPr>
          <w:ilvl w:val="0"/>
          <w:numId w:val="1020"/>
        </w:numPr>
      </w:pPr>
      <w:r>
        <w:t xml:space="preserve">artifact content,</w:t>
      </w:r>
    </w:p>
    <w:p>
      <w:pPr>
        <w:pStyle w:val="Compact"/>
        <w:numPr>
          <w:ilvl w:val="0"/>
          <w:numId w:val="1020"/>
        </w:numPr>
      </w:pPr>
      <w:r>
        <w:t xml:space="preserve">auditor identity,</w:t>
      </w:r>
    </w:p>
    <w:p>
      <w:pPr>
        <w:pStyle w:val="Compact"/>
        <w:numPr>
          <w:ilvl w:val="0"/>
          <w:numId w:val="1020"/>
        </w:numPr>
      </w:pPr>
      <w:r>
        <w:t xml:space="preserve">governance lineage,</w:t>
      </w:r>
    </w:p>
    <w:p>
      <w:pPr>
        <w:pStyle w:val="Compact"/>
        <w:numPr>
          <w:ilvl w:val="0"/>
          <w:numId w:val="1020"/>
        </w:numPr>
      </w:pPr>
      <w:r>
        <w:t xml:space="preserve">regulatory dialect,</w:t>
      </w:r>
    </w:p>
    <w:p>
      <w:pPr>
        <w:pStyle w:val="Compact"/>
        <w:numPr>
          <w:ilvl w:val="0"/>
          <w:numId w:val="1020"/>
        </w:numPr>
      </w:pPr>
      <w:r>
        <w:t xml:space="preserve">policy version.</w:t>
      </w:r>
    </w:p>
    <w:p>
      <w:pPr>
        <w:pStyle w:val="FirstParagraph"/>
      </w:pPr>
      <w:r>
        <w:t xml:space="preserve">This transforms exported governance evidence into institutionally attributable records.</w:t>
      </w:r>
    </w:p>
    <w:p>
      <w:r>
        <w:pict>
          <v:rect style="width:0;height:1.5pt" o:hralign="center" o:hrstd="t" o:hr="t"/>
        </w:pict>
      </w:r>
    </w:p>
    <w:bookmarkEnd w:id="54"/>
    <w:bookmarkEnd w:id="55"/>
    <w:bookmarkStart w:id="59" w:name="governance-propagation-architecture"/>
    <w:p>
      <w:pPr>
        <w:pStyle w:val="Heading1"/>
      </w:pPr>
      <w:r>
        <w:t xml:space="preserve">8. Governance Propagation Architecture</w:t>
      </w:r>
    </w:p>
    <w:bookmarkStart w:id="56" w:name="the-propagation-problem"/>
    <w:p>
      <w:pPr>
        <w:pStyle w:val="Heading2"/>
      </w:pPr>
      <w:r>
        <w:t xml:space="preserve">8.1 The Propagation Problem</w:t>
      </w:r>
    </w:p>
    <w:p>
      <w:pPr>
        <w:pStyle w:val="FirstParagraph"/>
      </w:pPr>
      <w:r>
        <w:t xml:space="preserve">Conventional governance systems rely heavily on polling.</w:t>
      </w:r>
    </w:p>
    <w:p>
      <w:pPr>
        <w:pStyle w:val="BodyText"/>
      </w:pPr>
      <w:r>
        <w:t xml:space="preserve">This creates latency between:</w:t>
      </w:r>
    </w:p>
    <w:p>
      <w:pPr>
        <w:pStyle w:val="Compact"/>
        <w:numPr>
          <w:ilvl w:val="0"/>
          <w:numId w:val="1021"/>
        </w:numPr>
      </w:pPr>
      <w:r>
        <w:t xml:space="preserve">policy updates,</w:t>
      </w:r>
    </w:p>
    <w:p>
      <w:pPr>
        <w:pStyle w:val="Compact"/>
        <w:numPr>
          <w:ilvl w:val="0"/>
          <w:numId w:val="1021"/>
        </w:numPr>
      </w:pPr>
      <w:r>
        <w:t xml:space="preserve">capability revocations,</w:t>
      </w:r>
    </w:p>
    <w:p>
      <w:pPr>
        <w:pStyle w:val="Compact"/>
        <w:numPr>
          <w:ilvl w:val="0"/>
          <w:numId w:val="1021"/>
        </w:numPr>
      </w:pPr>
      <w:r>
        <w:t xml:space="preserve">institutional enforcement,</w:t>
      </w:r>
    </w:p>
    <w:p>
      <w:pPr>
        <w:pStyle w:val="Compact"/>
        <w:numPr>
          <w:ilvl w:val="0"/>
          <w:numId w:val="1021"/>
        </w:numPr>
      </w:pPr>
      <w:r>
        <w:t xml:space="preserve">runtime synchronization.</w:t>
      </w:r>
    </w:p>
    <w:p>
      <w:pPr>
        <w:pStyle w:val="FirstParagraph"/>
      </w:pPr>
      <w:r>
        <w:t xml:space="preserve">In regulated environments, delayed revocation becomes an institutional risk.</w:t>
      </w:r>
    </w:p>
    <w:p>
      <w:r>
        <w:pict>
          <v:rect style="width:0;height:1.5pt" o:hralign="center" o:hrstd="t" o:hr="t"/>
        </w:pict>
      </w:r>
    </w:p>
    <w:bookmarkEnd w:id="56"/>
    <w:bookmarkStart w:id="57" w:name="governance-event-bus"/>
    <w:p>
      <w:pPr>
        <w:pStyle w:val="Heading2"/>
      </w:pPr>
      <w:r>
        <w:t xml:space="preserve">8.2 Governance Event Bus</w:t>
      </w:r>
    </w:p>
    <w:p>
      <w:pPr>
        <w:pStyle w:val="FirstParagraph"/>
      </w:pPr>
      <w:r>
        <w:t xml:space="preserve">Anchor Runtime introduces a governance native propagation layer.</w:t>
      </w:r>
    </w:p>
    <w:p>
      <w:pPr>
        <w:pStyle w:val="BodyText"/>
      </w:pPr>
      <w:r>
        <w:t xml:space="preserve">Governance events include:</w:t>
      </w:r>
    </w:p>
    <w:p>
      <w:pPr>
        <w:pStyle w:val="Compact"/>
        <w:numPr>
          <w:ilvl w:val="0"/>
          <w:numId w:val="1022"/>
        </w:numPr>
      </w:pPr>
      <w:r>
        <w:t xml:space="preserve">CAPABILITY_GRANTED,</w:t>
      </w:r>
    </w:p>
    <w:p>
      <w:pPr>
        <w:pStyle w:val="Compact"/>
        <w:numPr>
          <w:ilvl w:val="0"/>
          <w:numId w:val="1022"/>
        </w:numPr>
      </w:pPr>
      <w:r>
        <w:t xml:space="preserve">CAPABILITY_REVOKED,</w:t>
      </w:r>
    </w:p>
    <w:p>
      <w:pPr>
        <w:pStyle w:val="Compact"/>
        <w:numPr>
          <w:ilvl w:val="0"/>
          <w:numId w:val="1022"/>
        </w:numPr>
      </w:pPr>
      <w:r>
        <w:t xml:space="preserve">POLICY_REVISION,</w:t>
      </w:r>
    </w:p>
    <w:p>
      <w:pPr>
        <w:pStyle w:val="Compact"/>
        <w:numPr>
          <w:ilvl w:val="0"/>
          <w:numId w:val="1022"/>
        </w:numPr>
      </w:pPr>
      <w:r>
        <w:t xml:space="preserve">SURETY_CHALLENGE,</w:t>
      </w:r>
    </w:p>
    <w:p>
      <w:pPr>
        <w:pStyle w:val="Compact"/>
        <w:numPr>
          <w:ilvl w:val="0"/>
          <w:numId w:val="1022"/>
        </w:numPr>
      </w:pPr>
      <w:r>
        <w:t xml:space="preserve">ENFORCEMENT_NOTICE,</w:t>
      </w:r>
    </w:p>
    <w:p>
      <w:pPr>
        <w:pStyle w:val="Compact"/>
        <w:numPr>
          <w:ilvl w:val="0"/>
          <w:numId w:val="1022"/>
        </w:numPr>
      </w:pPr>
      <w:r>
        <w:t xml:space="preserve">EVIDENCE_LOCK.</w:t>
      </w:r>
    </w:p>
    <w:p>
      <w:pPr>
        <w:pStyle w:val="FirstParagraph"/>
      </w:pPr>
      <w:r>
        <w:t xml:space="preserve">These events propagate through the governance mesh using websocket relay infrastructure.</w:t>
      </w:r>
    </w:p>
    <w:p>
      <w:r>
        <w:pict>
          <v:rect style="width:0;height:1.5pt" o:hralign="center" o:hrstd="t" o:hr="t"/>
        </w:pict>
      </w:r>
    </w:p>
    <w:bookmarkEnd w:id="57"/>
    <w:bookmarkStart w:id="58" w:name="runtime-synchronization"/>
    <w:p>
      <w:pPr>
        <w:pStyle w:val="Heading2"/>
      </w:pPr>
      <w:r>
        <w:t xml:space="preserve">8.3 Runtime Synchronization</w:t>
      </w:r>
    </w:p>
    <w:p>
      <w:pPr>
        <w:pStyle w:val="FirstParagraph"/>
      </w:pPr>
      <w:r>
        <w:t xml:space="preserve">When a governance event propagates:</w:t>
      </w:r>
    </w:p>
    <w:p>
      <w:pPr>
        <w:pStyle w:val="Compact"/>
        <w:numPr>
          <w:ilvl w:val="0"/>
          <w:numId w:val="1023"/>
        </w:numPr>
      </w:pPr>
      <w:r>
        <w:t xml:space="preserve">local runtime filters revalidate,</w:t>
      </w:r>
    </w:p>
    <w:p>
      <w:pPr>
        <w:pStyle w:val="Compact"/>
        <w:numPr>
          <w:ilvl w:val="0"/>
          <w:numId w:val="1023"/>
        </w:numPr>
      </w:pPr>
      <w:r>
        <w:t xml:space="preserve">capability caches refresh,</w:t>
      </w:r>
    </w:p>
    <w:p>
      <w:pPr>
        <w:pStyle w:val="Compact"/>
        <w:numPr>
          <w:ilvl w:val="0"/>
          <w:numId w:val="1023"/>
        </w:numPr>
      </w:pPr>
      <w:r>
        <w:t xml:space="preserve">revoked authority evaporates,</w:t>
      </w:r>
    </w:p>
    <w:p>
      <w:pPr>
        <w:pStyle w:val="Compact"/>
        <w:numPr>
          <w:ilvl w:val="0"/>
          <w:numId w:val="1023"/>
        </w:numPr>
      </w:pPr>
      <w:r>
        <w:t xml:space="preserve">constitutional manifests synchronize,</w:t>
      </w:r>
    </w:p>
    <w:p>
      <w:pPr>
        <w:pStyle w:val="Compact"/>
        <w:numPr>
          <w:ilvl w:val="0"/>
          <w:numId w:val="1023"/>
        </w:numPr>
      </w:pPr>
      <w:r>
        <w:t xml:space="preserve">enforcement planes update.</w:t>
      </w:r>
    </w:p>
    <w:p>
      <w:pPr>
        <w:pStyle w:val="FirstParagraph"/>
      </w:pPr>
      <w:r>
        <w:t xml:space="preserve">This architecture creates continuous governance hydration across the distributed mesh.</w:t>
      </w:r>
    </w:p>
    <w:p>
      <w:r>
        <w:pict>
          <v:rect style="width:0;height:1.5pt" o:hralign="center" o:hrstd="t" o:hr="t"/>
        </w:pict>
      </w:r>
    </w:p>
    <w:bookmarkEnd w:id="58"/>
    <w:bookmarkEnd w:id="59"/>
    <w:bookmarkStart w:id="62" w:name="constitutional-runtime-infrastructure"/>
    <w:p>
      <w:pPr>
        <w:pStyle w:val="Heading1"/>
      </w:pPr>
      <w:r>
        <w:t xml:space="preserve">9. Constitutional Runtime Infrastructure</w:t>
      </w:r>
    </w:p>
    <w:bookmarkStart w:id="60" w:name="constitutional-governance"/>
    <w:p>
      <w:pPr>
        <w:pStyle w:val="Heading2"/>
      </w:pPr>
      <w:r>
        <w:t xml:space="preserve">9.1 Constitutional Governance</w:t>
      </w:r>
    </w:p>
    <w:p>
      <w:pPr>
        <w:pStyle w:val="FirstParagraph"/>
      </w:pPr>
      <w:r>
        <w:t xml:space="preserve">Anchor Runtime derives operational enforcement from constitutional manifests.</w:t>
      </w:r>
    </w:p>
    <w:p>
      <w:pPr>
        <w:pStyle w:val="BodyText"/>
      </w:pPr>
      <w:r>
        <w:t xml:space="preserve">The constitutional layer defines:</w:t>
      </w:r>
    </w:p>
    <w:p>
      <w:pPr>
        <w:pStyle w:val="Compact"/>
        <w:numPr>
          <w:ilvl w:val="0"/>
          <w:numId w:val="1024"/>
        </w:numPr>
      </w:pPr>
      <w:r>
        <w:t xml:space="preserve">governance domains,</w:t>
      </w:r>
    </w:p>
    <w:p>
      <w:pPr>
        <w:pStyle w:val="Compact"/>
        <w:numPr>
          <w:ilvl w:val="0"/>
          <w:numId w:val="1024"/>
        </w:numPr>
      </w:pPr>
      <w:r>
        <w:t xml:space="preserve">enforcement semantics,</w:t>
      </w:r>
    </w:p>
    <w:p>
      <w:pPr>
        <w:pStyle w:val="Compact"/>
        <w:numPr>
          <w:ilvl w:val="0"/>
          <w:numId w:val="1024"/>
        </w:numPr>
      </w:pPr>
      <w:r>
        <w:t xml:space="preserve">institutional invariants,</w:t>
      </w:r>
    </w:p>
    <w:p>
      <w:pPr>
        <w:pStyle w:val="Compact"/>
        <w:numPr>
          <w:ilvl w:val="0"/>
          <w:numId w:val="1024"/>
        </w:numPr>
      </w:pPr>
      <w:r>
        <w:t xml:space="preserve">operational boundaries,</w:t>
      </w:r>
    </w:p>
    <w:p>
      <w:pPr>
        <w:pStyle w:val="Compact"/>
        <w:numPr>
          <w:ilvl w:val="0"/>
          <w:numId w:val="1024"/>
        </w:numPr>
      </w:pPr>
      <w:r>
        <w:t xml:space="preserve">runtime constraints.</w:t>
      </w:r>
    </w:p>
    <w:p>
      <w:pPr>
        <w:pStyle w:val="FirstParagraph"/>
      </w:pPr>
      <w:r>
        <w:t xml:space="preserve">The manifest becomes the executable governance substrate.</w:t>
      </w:r>
    </w:p>
    <w:p>
      <w:r>
        <w:pict>
          <v:rect style="width:0;height:1.5pt" o:hralign="center" o:hrstd="t" o:hr="t"/>
        </w:pict>
      </w:r>
    </w:p>
    <w:bookmarkEnd w:id="60"/>
    <w:bookmarkStart w:id="61" w:name="governance-registry"/>
    <w:p>
      <w:pPr>
        <w:pStyle w:val="Heading2"/>
      </w:pPr>
      <w:r>
        <w:t xml:space="preserve">9.2 Governance Registry</w:t>
      </w:r>
    </w:p>
    <w:p>
      <w:pPr>
        <w:pStyle w:val="FirstParagraph"/>
      </w:pPr>
      <w:r>
        <w:t xml:space="preserve">The Governance Registry acts as the semantic compiler of institutional authority.</w:t>
      </w:r>
    </w:p>
    <w:p>
      <w:pPr>
        <w:pStyle w:val="BodyText"/>
      </w:pPr>
      <w:r>
        <w:t xml:space="preserve">Inputs:</w:t>
      </w:r>
    </w:p>
    <w:p>
      <w:pPr>
        <w:pStyle w:val="Compact"/>
        <w:numPr>
          <w:ilvl w:val="0"/>
          <w:numId w:val="1025"/>
        </w:numPr>
      </w:pPr>
      <w:r>
        <w:t xml:space="preserve">identity subtype,</w:t>
      </w:r>
    </w:p>
    <w:p>
      <w:pPr>
        <w:pStyle w:val="Compact"/>
        <w:numPr>
          <w:ilvl w:val="0"/>
          <w:numId w:val="1025"/>
        </w:numPr>
      </w:pPr>
      <w:r>
        <w:t xml:space="preserve">jurisdiction,</w:t>
      </w:r>
    </w:p>
    <w:p>
      <w:pPr>
        <w:pStyle w:val="Compact"/>
        <w:numPr>
          <w:ilvl w:val="0"/>
          <w:numId w:val="1025"/>
        </w:numPr>
      </w:pPr>
      <w:r>
        <w:t xml:space="preserve">organizational status,</w:t>
      </w:r>
    </w:p>
    <w:p>
      <w:pPr>
        <w:pStyle w:val="Compact"/>
        <w:numPr>
          <w:ilvl w:val="0"/>
          <w:numId w:val="1025"/>
        </w:numPr>
      </w:pPr>
      <w:r>
        <w:t xml:space="preserve">capability manifest,</w:t>
      </w:r>
    </w:p>
    <w:p>
      <w:pPr>
        <w:pStyle w:val="Compact"/>
        <w:numPr>
          <w:ilvl w:val="0"/>
          <w:numId w:val="1025"/>
        </w:numPr>
      </w:pPr>
      <w:r>
        <w:t xml:space="preserve">constitutional constraints.</w:t>
      </w:r>
    </w:p>
    <w:p>
      <w:pPr>
        <w:pStyle w:val="FirstParagraph"/>
      </w:pPr>
      <w:r>
        <w:t xml:space="preserve">Output:</w:t>
      </w:r>
    </w:p>
    <w:p>
      <w:pPr>
        <w:pStyle w:val="Compact"/>
        <w:numPr>
          <w:ilvl w:val="0"/>
          <w:numId w:val="1026"/>
        </w:numPr>
      </w:pPr>
      <w:r>
        <w:t xml:space="preserve">effective governance profile.</w:t>
      </w:r>
    </w:p>
    <w:p>
      <w:pPr>
        <w:pStyle w:val="FirstParagraph"/>
      </w:pPr>
      <w:r>
        <w:t xml:space="preserve">This transforms governance from static role mapping into deterministic authority compilation.</w:t>
      </w:r>
    </w:p>
    <w:p>
      <w:r>
        <w:pict>
          <v:rect style="width:0;height:1.5pt" o:hralign="center" o:hrstd="t" o:hr="t"/>
        </w:pict>
      </w:r>
    </w:p>
    <w:bookmarkEnd w:id="61"/>
    <w:bookmarkEnd w:id="62"/>
    <w:bookmarkStart w:id="65" w:name="forensic-reconstruction"/>
    <w:p>
      <w:pPr>
        <w:pStyle w:val="Heading1"/>
      </w:pPr>
      <w:r>
        <w:t xml:space="preserve">10. Forensic Reconstruction</w:t>
      </w:r>
    </w:p>
    <w:bookmarkStart w:id="63" w:name="replay-as-governance"/>
    <w:p>
      <w:pPr>
        <w:pStyle w:val="Heading2"/>
      </w:pPr>
      <w:r>
        <w:t xml:space="preserve">10.1 Replay as Governance</w:t>
      </w:r>
    </w:p>
    <w:p>
      <w:pPr>
        <w:pStyle w:val="FirstParagraph"/>
      </w:pPr>
      <w:r>
        <w:t xml:space="preserve">Most AI replay systems treat replay as debugging.</w:t>
      </w:r>
    </w:p>
    <w:p>
      <w:pPr>
        <w:pStyle w:val="BodyText"/>
      </w:pPr>
      <w:r>
        <w:t xml:space="preserve">Anchor Runtime treats replay as sovereign forensic reconstruction.</w:t>
      </w:r>
    </w:p>
    <w:p>
      <w:pPr>
        <w:pStyle w:val="BodyText"/>
      </w:pPr>
      <w:r>
        <w:t xml:space="preserve">Replay sessions therefore require:</w:t>
      </w:r>
    </w:p>
    <w:p>
      <w:pPr>
        <w:pStyle w:val="Compact"/>
        <w:numPr>
          <w:ilvl w:val="0"/>
          <w:numId w:val="1027"/>
        </w:numPr>
      </w:pPr>
      <w:r>
        <w:t xml:space="preserve">explicit justification,</w:t>
      </w:r>
    </w:p>
    <w:p>
      <w:pPr>
        <w:pStyle w:val="Compact"/>
        <w:numPr>
          <w:ilvl w:val="0"/>
          <w:numId w:val="1027"/>
        </w:numPr>
      </w:pPr>
      <w:r>
        <w:t xml:space="preserve">institutional approval,</w:t>
      </w:r>
    </w:p>
    <w:p>
      <w:pPr>
        <w:pStyle w:val="Compact"/>
        <w:numPr>
          <w:ilvl w:val="0"/>
          <w:numId w:val="1027"/>
        </w:numPr>
      </w:pPr>
      <w:r>
        <w:t xml:space="preserve">temporary delegated authority,</w:t>
      </w:r>
    </w:p>
    <w:p>
      <w:pPr>
        <w:pStyle w:val="Compact"/>
        <w:numPr>
          <w:ilvl w:val="0"/>
          <w:numId w:val="1027"/>
        </w:numPr>
      </w:pPr>
      <w:r>
        <w:t xml:space="preserve">evidence continuity,</w:t>
      </w:r>
    </w:p>
    <w:p>
      <w:pPr>
        <w:pStyle w:val="Compact"/>
        <w:numPr>
          <w:ilvl w:val="0"/>
          <w:numId w:val="1027"/>
        </w:numPr>
      </w:pPr>
      <w:r>
        <w:t xml:space="preserve">session lineage tracking.</w:t>
      </w:r>
    </w:p>
    <w:p>
      <w:r>
        <w:pict>
          <v:rect style="width:0;height:1.5pt" o:hralign="center" o:hrstd="t" o:hr="t"/>
        </w:pict>
      </w:r>
    </w:p>
    <w:bookmarkEnd w:id="63"/>
    <w:bookmarkStart w:id="64" w:name="governance-sessions"/>
    <w:p>
      <w:pPr>
        <w:pStyle w:val="Heading2"/>
      </w:pPr>
      <w:r>
        <w:t xml:space="preserve">10.2 Governance Sessions</w:t>
      </w:r>
    </w:p>
    <w:p>
      <w:pPr>
        <w:pStyle w:val="FirstParagraph"/>
      </w:pPr>
      <w:r>
        <w:t xml:space="preserve">Every forensic workflow is aggregated into a Governance Session.</w:t>
      </w:r>
    </w:p>
    <w:p>
      <w:pPr>
        <w:pStyle w:val="BodyText"/>
      </w:pPr>
      <w:r>
        <w:t xml:space="preserve">A governance session contains:</w:t>
      </w:r>
    </w:p>
    <w:p>
      <w:pPr>
        <w:pStyle w:val="Compact"/>
        <w:numPr>
          <w:ilvl w:val="0"/>
          <w:numId w:val="1028"/>
        </w:numPr>
      </w:pPr>
      <w:r>
        <w:t xml:space="preserve">authorization chain,</w:t>
      </w:r>
    </w:p>
    <w:p>
      <w:pPr>
        <w:pStyle w:val="Compact"/>
        <w:numPr>
          <w:ilvl w:val="0"/>
          <w:numId w:val="1028"/>
        </w:numPr>
      </w:pPr>
      <w:r>
        <w:t xml:space="preserve">capability activations,</w:t>
      </w:r>
    </w:p>
    <w:p>
      <w:pPr>
        <w:pStyle w:val="Compact"/>
        <w:numPr>
          <w:ilvl w:val="0"/>
          <w:numId w:val="1028"/>
        </w:numPr>
      </w:pPr>
      <w:r>
        <w:t xml:space="preserve">replay actions,</w:t>
      </w:r>
    </w:p>
    <w:p>
      <w:pPr>
        <w:pStyle w:val="Compact"/>
        <w:numPr>
          <w:ilvl w:val="0"/>
          <w:numId w:val="1028"/>
        </w:numPr>
      </w:pPr>
      <w:r>
        <w:t xml:space="preserve">evidence access logs,</w:t>
      </w:r>
    </w:p>
    <w:p>
      <w:pPr>
        <w:pStyle w:val="Compact"/>
        <w:numPr>
          <w:ilvl w:val="0"/>
          <w:numId w:val="1028"/>
        </w:numPr>
      </w:pPr>
      <w:r>
        <w:t xml:space="preserve">enforcement outputs,</w:t>
      </w:r>
    </w:p>
    <w:p>
      <w:pPr>
        <w:pStyle w:val="Compact"/>
        <w:numPr>
          <w:ilvl w:val="0"/>
          <w:numId w:val="1028"/>
        </w:numPr>
      </w:pPr>
      <w:r>
        <w:t xml:space="preserve">jurisdictional translations.</w:t>
      </w:r>
    </w:p>
    <w:p>
      <w:pPr>
        <w:pStyle w:val="FirstParagraph"/>
      </w:pPr>
      <w:r>
        <w:t xml:space="preserve">This produces a complete chain of custody for institutional investigations.</w:t>
      </w:r>
    </w:p>
    <w:p>
      <w:r>
        <w:pict>
          <v:rect style="width:0;height:1.5pt" o:hralign="center" o:hrstd="t" o:hr="t"/>
        </w:pict>
      </w:r>
    </w:p>
    <w:bookmarkEnd w:id="64"/>
    <w:bookmarkEnd w:id="65"/>
    <w:bookmarkStart w:id="70" w:name="threat-model"/>
    <w:p>
      <w:pPr>
        <w:pStyle w:val="Heading1"/>
      </w:pPr>
      <w:r>
        <w:t xml:space="preserve">11. Threat Model</w:t>
      </w:r>
    </w:p>
    <w:p>
      <w:pPr>
        <w:pStyle w:val="FirstParagraph"/>
      </w:pPr>
      <w:r>
        <w:t xml:space="preserve">Anchor Runtime is designed to defend against several governance specific threat classes.</w:t>
      </w:r>
    </w:p>
    <w:bookmarkStart w:id="66" w:name="unauthorized-visibility-expansion"/>
    <w:p>
      <w:pPr>
        <w:pStyle w:val="Heading2"/>
      </w:pPr>
      <w:r>
        <w:t xml:space="preserve">11.1 Unauthorized Visibility Expansion</w:t>
      </w:r>
    </w:p>
    <w:p>
      <w:pPr>
        <w:pStyle w:val="FirstParagraph"/>
      </w:pPr>
      <w:r>
        <w:t xml:space="preserve">An entity attempts to access operational surfaces outside its institutional scope.</w:t>
      </w:r>
    </w:p>
    <w:p>
      <w:pPr>
        <w:pStyle w:val="BodyText"/>
      </w:pPr>
      <w:r>
        <w:t xml:space="preserve">Mitigation:</w:t>
      </w:r>
    </w:p>
    <w:p>
      <w:pPr>
        <w:pStyle w:val="Compact"/>
        <w:numPr>
          <w:ilvl w:val="0"/>
          <w:numId w:val="1029"/>
        </w:numPr>
      </w:pPr>
      <w:r>
        <w:t xml:space="preserve">subtype gated backend enforcement,</w:t>
      </w:r>
    </w:p>
    <w:p>
      <w:pPr>
        <w:pStyle w:val="Compact"/>
        <w:numPr>
          <w:ilvl w:val="0"/>
          <w:numId w:val="1029"/>
        </w:numPr>
      </w:pPr>
      <w:r>
        <w:t xml:space="preserve">deterministic visibility filters,</w:t>
      </w:r>
    </w:p>
    <w:p>
      <w:pPr>
        <w:pStyle w:val="Compact"/>
        <w:numPr>
          <w:ilvl w:val="0"/>
          <w:numId w:val="1029"/>
        </w:numPr>
      </w:pPr>
      <w:r>
        <w:t xml:space="preserve">manifest derived authority.</w:t>
      </w:r>
    </w:p>
    <w:p>
      <w:r>
        <w:pict>
          <v:rect style="width:0;height:1.5pt" o:hralign="center" o:hrstd="t" o:hr="t"/>
        </w:pict>
      </w:r>
    </w:p>
    <w:bookmarkEnd w:id="66"/>
    <w:bookmarkStart w:id="67" w:name="privilege-persistence"/>
    <w:p>
      <w:pPr>
        <w:pStyle w:val="Heading2"/>
      </w:pPr>
      <w:r>
        <w:t xml:space="preserve">11.2 Privilege Persistence</w:t>
      </w:r>
    </w:p>
    <w:p>
      <w:pPr>
        <w:pStyle w:val="FirstParagraph"/>
      </w:pPr>
      <w:r>
        <w:t xml:space="preserve">Temporary forensic capabilities persist beyond investigative necessity.</w:t>
      </w:r>
    </w:p>
    <w:p>
      <w:pPr>
        <w:pStyle w:val="BodyText"/>
      </w:pPr>
      <w:r>
        <w:t xml:space="preserve">Mitigation:</w:t>
      </w:r>
    </w:p>
    <w:p>
      <w:pPr>
        <w:pStyle w:val="Compact"/>
        <w:numPr>
          <w:ilvl w:val="0"/>
          <w:numId w:val="1030"/>
        </w:numPr>
      </w:pPr>
      <w:r>
        <w:t xml:space="preserve">temporal capability expiration,</w:t>
      </w:r>
    </w:p>
    <w:p>
      <w:pPr>
        <w:pStyle w:val="Compact"/>
        <w:numPr>
          <w:ilvl w:val="0"/>
          <w:numId w:val="1030"/>
        </w:numPr>
      </w:pPr>
      <w:r>
        <w:t xml:space="preserve">automatic revocation,</w:t>
      </w:r>
    </w:p>
    <w:p>
      <w:pPr>
        <w:pStyle w:val="Compact"/>
        <w:numPr>
          <w:ilvl w:val="0"/>
          <w:numId w:val="1030"/>
        </w:numPr>
      </w:pPr>
      <w:r>
        <w:t xml:space="preserve">governance propagation.</w:t>
      </w:r>
    </w:p>
    <w:p>
      <w:r>
        <w:pict>
          <v:rect style="width:0;height:1.5pt" o:hralign="center" o:hrstd="t" o:hr="t"/>
        </w:pict>
      </w:r>
    </w:p>
    <w:bookmarkEnd w:id="67"/>
    <w:bookmarkStart w:id="68" w:name="governance-tampering"/>
    <w:p>
      <w:pPr>
        <w:pStyle w:val="Heading2"/>
      </w:pPr>
      <w:r>
        <w:t xml:space="preserve">11.3 Governance Tampering</w:t>
      </w:r>
    </w:p>
    <w:p>
      <w:pPr>
        <w:pStyle w:val="FirstParagraph"/>
      </w:pPr>
      <w:r>
        <w:t xml:space="preserve">An operator modifies constitutional policy or evidence lineage.</w:t>
      </w:r>
    </w:p>
    <w:p>
      <w:pPr>
        <w:pStyle w:val="BodyText"/>
      </w:pPr>
      <w:r>
        <w:t xml:space="preserve">Mitigation:</w:t>
      </w:r>
    </w:p>
    <w:p>
      <w:pPr>
        <w:pStyle w:val="Compact"/>
        <w:numPr>
          <w:ilvl w:val="0"/>
          <w:numId w:val="1031"/>
        </w:numPr>
      </w:pPr>
      <w:r>
        <w:t xml:space="preserve">cryptographic lineage hashing,</w:t>
      </w:r>
    </w:p>
    <w:p>
      <w:pPr>
        <w:pStyle w:val="Compact"/>
        <w:numPr>
          <w:ilvl w:val="0"/>
          <w:numId w:val="1031"/>
        </w:numPr>
      </w:pPr>
      <w:r>
        <w:t xml:space="preserve">constitutional version binding,</w:t>
      </w:r>
    </w:p>
    <w:p>
      <w:pPr>
        <w:pStyle w:val="Compact"/>
        <w:numPr>
          <w:ilvl w:val="0"/>
          <w:numId w:val="1031"/>
        </w:numPr>
      </w:pPr>
      <w:r>
        <w:t xml:space="preserve">jurisdictional seals.</w:t>
      </w:r>
    </w:p>
    <w:p>
      <w:r>
        <w:pict>
          <v:rect style="width:0;height:1.5pt" o:hralign="center" o:hrstd="t" o:hr="t"/>
        </w:pict>
      </w:r>
    </w:p>
    <w:bookmarkEnd w:id="68"/>
    <w:bookmarkStart w:id="69" w:name="frontend-only-enforcement"/>
    <w:p>
      <w:pPr>
        <w:pStyle w:val="Heading2"/>
      </w:pPr>
      <w:r>
        <w:t xml:space="preserve">11.4 Frontend Only Enforcement</w:t>
      </w:r>
    </w:p>
    <w:p>
      <w:pPr>
        <w:pStyle w:val="FirstParagraph"/>
      </w:pPr>
      <w:r>
        <w:t xml:space="preserve">Visibility restrictions exist only at the interface layer.</w:t>
      </w:r>
    </w:p>
    <w:p>
      <w:pPr>
        <w:pStyle w:val="BodyText"/>
      </w:pPr>
      <w:r>
        <w:t xml:space="preserve">Mitigation:</w:t>
      </w:r>
    </w:p>
    <w:p>
      <w:pPr>
        <w:pStyle w:val="Compact"/>
        <w:numPr>
          <w:ilvl w:val="0"/>
          <w:numId w:val="1032"/>
        </w:numPr>
      </w:pPr>
      <w:r>
        <w:t xml:space="preserve">backend subtype enforcement,</w:t>
      </w:r>
    </w:p>
    <w:p>
      <w:pPr>
        <w:pStyle w:val="Compact"/>
        <w:numPr>
          <w:ilvl w:val="0"/>
          <w:numId w:val="1032"/>
        </w:numPr>
      </w:pPr>
      <w:r>
        <w:t xml:space="preserve">runtime visibility filtering,</w:t>
      </w:r>
    </w:p>
    <w:p>
      <w:pPr>
        <w:pStyle w:val="Compact"/>
        <w:numPr>
          <w:ilvl w:val="0"/>
          <w:numId w:val="1032"/>
        </w:numPr>
      </w:pPr>
      <w:r>
        <w:t xml:space="preserve">deterministic governance compilation.</w:t>
      </w:r>
    </w:p>
    <w:p>
      <w:r>
        <w:pict>
          <v:rect style="width:0;height:1.5pt" o:hralign="center" o:hrstd="t" o:hr="t"/>
        </w:pict>
      </w:r>
    </w:p>
    <w:bookmarkEnd w:id="69"/>
    <w:bookmarkEnd w:id="70"/>
    <w:bookmarkStart w:id="71" w:name="comparison-with-existing-systems"/>
    <w:p>
      <w:pPr>
        <w:pStyle w:val="Heading1"/>
      </w:pPr>
      <w:r>
        <w:t xml:space="preserve">12. Comparison with Existing Systems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System</w:t>
            </w:r>
          </w:p>
        </w:tc>
        <w:tc>
          <w:tcPr/>
          <w:p>
            <w:pPr>
              <w:pStyle w:val="Compact"/>
            </w:pPr>
            <w:r>
              <w:t xml:space="preserve">Monitoring</w:t>
            </w:r>
          </w:p>
        </w:tc>
        <w:tc>
          <w:tcPr/>
          <w:p>
            <w:pPr>
              <w:pStyle w:val="Compact"/>
            </w:pPr>
            <w:r>
              <w:t xml:space="preserve">Enforcement</w:t>
            </w:r>
          </w:p>
        </w:tc>
        <w:tc>
          <w:tcPr/>
          <w:p>
            <w:pPr>
              <w:pStyle w:val="Compact"/>
            </w:pPr>
            <w:r>
              <w:t xml:space="preserve">Temporal Authority</w:t>
            </w:r>
          </w:p>
        </w:tc>
        <w:tc>
          <w:tcPr/>
          <w:p>
            <w:pPr>
              <w:pStyle w:val="Compact"/>
            </w:pPr>
            <w:r>
              <w:t xml:space="preserve">Evidentiary Lineage</w:t>
            </w:r>
          </w:p>
        </w:tc>
        <w:tc>
          <w:tcPr/>
          <w:p>
            <w:pPr>
              <w:pStyle w:val="Compact"/>
            </w:pPr>
            <w:r>
              <w:t xml:space="preserve">Runtime Governance</w:t>
            </w:r>
          </w:p>
        </w:tc>
      </w:tr>
      <w:tr>
        <w:tc>
          <w:tcPr/>
          <w:p>
            <w:pPr>
              <w:pStyle w:val="Compact"/>
            </w:pPr>
            <w:r>
              <w:t xml:space="preserve">SIEM Platforms</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Partial</w:t>
            </w:r>
          </w:p>
        </w:tc>
        <w:tc>
          <w:tcPr/>
          <w:p>
            <w:pPr>
              <w:pStyle w:val="Compact"/>
            </w:pPr>
            <w:r>
              <w:t xml:space="preserve">No</w:t>
            </w:r>
          </w:p>
        </w:tc>
      </w:tr>
      <w:tr>
        <w:tc>
          <w:tcPr/>
          <w:p>
            <w:pPr>
              <w:pStyle w:val="Compact"/>
            </w:pPr>
            <w:r>
              <w:t xml:space="preserve">Static Analysis Tools</w:t>
            </w:r>
          </w:p>
        </w:tc>
        <w:tc>
          <w:tcPr/>
          <w:p>
            <w:pPr>
              <w:pStyle w:val="Compact"/>
            </w:pPr>
            <w:r>
              <w:t xml:space="preserve">Pre deployment only</w:t>
            </w:r>
          </w:p>
        </w:tc>
        <w:tc>
          <w:tcPr/>
          <w:p>
            <w:pPr>
              <w:pStyle w:val="Compact"/>
            </w:pPr>
            <w:r>
              <w:t xml:space="preserve">Limited</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RBAC Systems</w:t>
            </w:r>
          </w:p>
        </w:tc>
        <w:tc>
          <w:tcPr/>
          <w:p>
            <w:pPr>
              <w:pStyle w:val="Compact"/>
            </w:pPr>
            <w:r>
              <w:t xml:space="preserve">Partial</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No</w:t>
            </w:r>
          </w:p>
        </w:tc>
      </w:tr>
      <w:tr>
        <w:tc>
          <w:tcPr/>
          <w:p>
            <w:pPr>
              <w:pStyle w:val="Compact"/>
            </w:pPr>
            <w:r>
              <w:t xml:space="preserve">AI Monitoring Platforms</w:t>
            </w:r>
          </w:p>
        </w:tc>
        <w:tc>
          <w:tcPr/>
          <w:p>
            <w:pPr>
              <w:pStyle w:val="Compact"/>
            </w:pPr>
            <w:r>
              <w:t xml:space="preserve">Yes</w:t>
            </w:r>
          </w:p>
        </w:tc>
        <w:tc>
          <w:tcPr/>
          <w:p>
            <w:pPr>
              <w:pStyle w:val="Compact"/>
            </w:pPr>
            <w:r>
              <w:t xml:space="preserve">Limited</w:t>
            </w:r>
          </w:p>
        </w:tc>
        <w:tc>
          <w:tcPr/>
          <w:p>
            <w:pPr>
              <w:pStyle w:val="Compact"/>
            </w:pPr>
            <w:r>
              <w:t xml:space="preserve">No</w:t>
            </w:r>
          </w:p>
        </w:tc>
        <w:tc>
          <w:tcPr/>
          <w:p>
            <w:pPr>
              <w:pStyle w:val="Compact"/>
            </w:pPr>
            <w:r>
              <w:t xml:space="preserve">Partial</w:t>
            </w:r>
          </w:p>
        </w:tc>
        <w:tc>
          <w:tcPr/>
          <w:p>
            <w:pPr>
              <w:pStyle w:val="Compact"/>
            </w:pPr>
            <w:r>
              <w:t xml:space="preserve">Partial</w:t>
            </w:r>
          </w:p>
        </w:tc>
      </w:tr>
      <w:tr>
        <w:tc>
          <w:tcPr/>
          <w:p>
            <w:pPr>
              <w:pStyle w:val="Compact"/>
            </w:pPr>
            <w:r>
              <w:t xml:space="preserve">Anchor Runtime</w:t>
            </w:r>
          </w:p>
        </w:tc>
        <w:tc>
          <w:tcPr/>
          <w:p>
            <w:pPr>
              <w:pStyle w:val="Compact"/>
            </w:pPr>
            <w:r>
              <w:t xml:space="preserve">Yes</w:t>
            </w:r>
          </w:p>
        </w:tc>
        <w:tc>
          <w:tcPr/>
          <w:p>
            <w:pPr>
              <w:pStyle w:val="Compact"/>
            </w:pPr>
            <w:r>
              <w:t xml:space="preserve">Deterministic</w:t>
            </w:r>
          </w:p>
        </w:tc>
        <w:tc>
          <w:tcPr/>
          <w:p>
            <w:pPr>
              <w:pStyle w:val="Compact"/>
            </w:pPr>
            <w:r>
              <w:t xml:space="preserve">Yes</w:t>
            </w:r>
          </w:p>
        </w:tc>
        <w:tc>
          <w:tcPr/>
          <w:p>
            <w:pPr>
              <w:pStyle w:val="Compact"/>
            </w:pPr>
            <w:r>
              <w:t xml:space="preserve">Yes</w:t>
            </w:r>
          </w:p>
        </w:tc>
        <w:tc>
          <w:tcPr/>
          <w:p>
            <w:pPr>
              <w:pStyle w:val="Compact"/>
            </w:pPr>
            <w:r>
              <w:t xml:space="preserve">Yes</w:t>
            </w:r>
          </w:p>
        </w:tc>
      </w:tr>
    </w:tbl>
    <w:p>
      <w:r>
        <w:pict>
          <v:rect style="width:0;height:1.5pt" o:hralign="center" o:hrstd="t" o:hr="t"/>
        </w:pict>
      </w:r>
    </w:p>
    <w:bookmarkEnd w:id="71"/>
    <w:bookmarkStart w:id="75" w:name="limitations"/>
    <w:p>
      <w:pPr>
        <w:pStyle w:val="Heading1"/>
      </w:pPr>
      <w:r>
        <w:t xml:space="preserve">13. Limitations</w:t>
      </w:r>
    </w:p>
    <w:p>
      <w:pPr>
        <w:pStyle w:val="FirstParagraph"/>
      </w:pPr>
      <w:r>
        <w:t xml:space="preserve">Several limitations remain.</w:t>
      </w:r>
    </w:p>
    <w:bookmarkStart w:id="72" w:name="semantic-validation"/>
    <w:p>
      <w:pPr>
        <w:pStyle w:val="Heading2"/>
      </w:pPr>
      <w:r>
        <w:t xml:space="preserve">13.1 Semantic Validation</w:t>
      </w:r>
    </w:p>
    <w:p>
      <w:pPr>
        <w:pStyle w:val="FirstParagraph"/>
      </w:pPr>
      <w:r>
        <w:t xml:space="preserve">Anchor Runtime primarily governs deterministic operational structure.</w:t>
      </w:r>
    </w:p>
    <w:p>
      <w:pPr>
        <w:pStyle w:val="BodyText"/>
      </w:pPr>
      <w:r>
        <w:t xml:space="preserve">Subtle semantic harms may require secondary probabilistic validators.</w:t>
      </w:r>
    </w:p>
    <w:p>
      <w:r>
        <w:pict>
          <v:rect style="width:0;height:1.5pt" o:hralign="center" o:hrstd="t" o:hr="t"/>
        </w:pict>
      </w:r>
    </w:p>
    <w:bookmarkEnd w:id="72"/>
    <w:bookmarkStart w:id="73" w:name="distributed-key-management"/>
    <w:p>
      <w:pPr>
        <w:pStyle w:val="Heading2"/>
      </w:pPr>
      <w:r>
        <w:t xml:space="preserve">13.2 Distributed Key Management</w:t>
      </w:r>
    </w:p>
    <w:p>
      <w:pPr>
        <w:pStyle w:val="FirstParagraph"/>
      </w:pPr>
      <w:r>
        <w:t xml:space="preserve">Institutional signing and jurisdictional sealing require secure distributed key infrastructure.</w:t>
      </w:r>
    </w:p>
    <w:p>
      <w:r>
        <w:pict>
          <v:rect style="width:0;height:1.5pt" o:hralign="center" o:hrstd="t" o:hr="t"/>
        </w:pict>
      </w:r>
    </w:p>
    <w:bookmarkEnd w:id="73"/>
    <w:bookmarkStart w:id="74" w:name="governance-complexity"/>
    <w:p>
      <w:pPr>
        <w:pStyle w:val="Heading2"/>
      </w:pPr>
      <w:r>
        <w:t xml:space="preserve">13.3 Governance Complexity</w:t>
      </w:r>
    </w:p>
    <w:p>
      <w:pPr>
        <w:pStyle w:val="FirstParagraph"/>
      </w:pPr>
      <w:r>
        <w:t xml:space="preserve">Institutional governance infrastructure introduces operational complexity that may exceed the requirements of smaller deployments.</w:t>
      </w:r>
    </w:p>
    <w:p>
      <w:r>
        <w:pict>
          <v:rect style="width:0;height:1.5pt" o:hralign="center" o:hrstd="t" o:hr="t"/>
        </w:pict>
      </w:r>
    </w:p>
    <w:bookmarkEnd w:id="74"/>
    <w:bookmarkEnd w:id="75"/>
    <w:bookmarkStart w:id="79" w:name="future-work"/>
    <w:p>
      <w:pPr>
        <w:pStyle w:val="Heading1"/>
      </w:pPr>
      <w:r>
        <w:t xml:space="preserve">14. Future Work</w:t>
      </w:r>
    </w:p>
    <w:p>
      <w:pPr>
        <w:pStyle w:val="FirstParagraph"/>
      </w:pPr>
      <w:r>
        <w:t xml:space="preserve">Several future directions are planned.</w:t>
      </w:r>
    </w:p>
    <w:bookmarkStart w:id="76" w:name="capability-namespacing"/>
    <w:p>
      <w:pPr>
        <w:pStyle w:val="Heading2"/>
      </w:pPr>
      <w:r>
        <w:t xml:space="preserve">14.1 Capability Namespacing</w:t>
      </w:r>
    </w:p>
    <w:p>
      <w:pPr>
        <w:pStyle w:val="FirstParagraph"/>
      </w:pPr>
      <w:r>
        <w:t xml:space="preserve">Future versions will introduce namespaced capability semantics:</w:t>
      </w:r>
    </w:p>
    <w:p>
      <w:pPr>
        <w:pStyle w:val="Compact"/>
        <w:numPr>
          <w:ilvl w:val="0"/>
          <w:numId w:val="1033"/>
        </w:numPr>
      </w:pPr>
      <w:r>
        <w:t xml:space="preserve">gov.*</w:t>
      </w:r>
    </w:p>
    <w:p>
      <w:pPr>
        <w:pStyle w:val="Compact"/>
        <w:numPr>
          <w:ilvl w:val="0"/>
          <w:numId w:val="1033"/>
        </w:numPr>
      </w:pPr>
      <w:r>
        <w:t xml:space="preserve">mesh.*</w:t>
      </w:r>
    </w:p>
    <w:p>
      <w:pPr>
        <w:pStyle w:val="Compact"/>
        <w:numPr>
          <w:ilvl w:val="0"/>
          <w:numId w:val="1033"/>
        </w:numPr>
      </w:pPr>
      <w:r>
        <w:t xml:space="preserve">forensic.*</w:t>
      </w:r>
    </w:p>
    <w:p>
      <w:pPr>
        <w:pStyle w:val="Compact"/>
        <w:numPr>
          <w:ilvl w:val="0"/>
          <w:numId w:val="1033"/>
        </w:numPr>
      </w:pPr>
      <w:r>
        <w:t xml:space="preserve">repo.*</w:t>
      </w:r>
    </w:p>
    <w:p>
      <w:pPr>
        <w:pStyle w:val="Compact"/>
        <w:numPr>
          <w:ilvl w:val="0"/>
          <w:numId w:val="1033"/>
        </w:numPr>
      </w:pPr>
      <w:r>
        <w:t xml:space="preserve">runtime.*</w:t>
      </w:r>
    </w:p>
    <w:p>
      <w:r>
        <w:pict>
          <v:rect style="width:0;height:1.5pt" o:hralign="center" o:hrstd="t" o:hr="t"/>
        </w:pict>
      </w:r>
    </w:p>
    <w:bookmarkEnd w:id="76"/>
    <w:bookmarkStart w:id="77" w:name="governance-virtualization"/>
    <w:p>
      <w:pPr>
        <w:pStyle w:val="Heading2"/>
      </w:pPr>
      <w:r>
        <w:t xml:space="preserve">14.2 Governance Virtualization</w:t>
      </w:r>
    </w:p>
    <w:p>
      <w:pPr>
        <w:pStyle w:val="FirstParagraph"/>
      </w:pPr>
      <w:r>
        <w:t xml:space="preserve">Future architectures may allow multiple sovereign governance overlays to operate simultaneously across the same runtime substrate.</w:t>
      </w:r>
    </w:p>
    <w:p>
      <w:r>
        <w:pict>
          <v:rect style="width:0;height:1.5pt" o:hralign="center" o:hrstd="t" o:hr="t"/>
        </w:pict>
      </w:r>
    </w:p>
    <w:bookmarkEnd w:id="77"/>
    <w:bookmarkStart w:id="78" w:name="zero-knowledge-governance-proofs"/>
    <w:p>
      <w:pPr>
        <w:pStyle w:val="Heading2"/>
      </w:pPr>
      <w:r>
        <w:t xml:space="preserve">14.3 Zero Knowledge Governance Proofs</w:t>
      </w:r>
    </w:p>
    <w:p>
      <w:pPr>
        <w:pStyle w:val="FirstParagraph"/>
      </w:pPr>
      <w:r>
        <w:t xml:space="preserve">Future work may integrate zero knowledge execution proofs for regulator verifiable replay validation.</w:t>
      </w:r>
    </w:p>
    <w:p>
      <w:r>
        <w:pict>
          <v:rect style="width:0;height:1.5pt" o:hralign="center" o:hrstd="t" o:hr="t"/>
        </w:pict>
      </w:r>
    </w:p>
    <w:bookmarkEnd w:id="78"/>
    <w:bookmarkEnd w:id="79"/>
    <w:bookmarkStart w:id="80" w:name="conclusion"/>
    <w:p>
      <w:pPr>
        <w:pStyle w:val="Heading1"/>
      </w:pPr>
      <w:r>
        <w:t xml:space="preserve">15. Conclusion</w:t>
      </w:r>
    </w:p>
    <w:p>
      <w:pPr>
        <w:pStyle w:val="FirstParagraph"/>
      </w:pPr>
      <w:r>
        <w:t xml:space="preserve">We presented Anchor Runtime, a deterministic governance infrastructure for institutional AI systems.</w:t>
      </w:r>
    </w:p>
    <w:p>
      <w:pPr>
        <w:pStyle w:val="BodyText"/>
      </w:pPr>
      <w:r>
        <w:t xml:space="preserve">Unlike conventional governance systems that primarily observe operational behaviour, Anchor Runtime formalizes governance as executable runtime infrastructure.</w:t>
      </w:r>
    </w:p>
    <w:p>
      <w:pPr>
        <w:pStyle w:val="BodyText"/>
      </w:pPr>
      <w:r>
        <w:t xml:space="preserve">The architecture introduces:</w:t>
      </w:r>
    </w:p>
    <w:p>
      <w:pPr>
        <w:pStyle w:val="Compact"/>
        <w:numPr>
          <w:ilvl w:val="0"/>
          <w:numId w:val="1034"/>
        </w:numPr>
      </w:pPr>
      <w:r>
        <w:t xml:space="preserve">semantic institutional identities,</w:t>
      </w:r>
    </w:p>
    <w:p>
      <w:pPr>
        <w:pStyle w:val="Compact"/>
        <w:numPr>
          <w:ilvl w:val="0"/>
          <w:numId w:val="1034"/>
        </w:numPr>
      </w:pPr>
      <w:r>
        <w:t xml:space="preserve">deterministic authority compilation,</w:t>
      </w:r>
    </w:p>
    <w:p>
      <w:pPr>
        <w:pStyle w:val="Compact"/>
        <w:numPr>
          <w:ilvl w:val="0"/>
          <w:numId w:val="1034"/>
        </w:numPr>
      </w:pPr>
      <w:r>
        <w:t xml:space="preserve">temporary delegated governance,</w:t>
      </w:r>
    </w:p>
    <w:p>
      <w:pPr>
        <w:pStyle w:val="Compact"/>
        <w:numPr>
          <w:ilvl w:val="0"/>
          <w:numId w:val="1034"/>
        </w:numPr>
      </w:pPr>
      <w:r>
        <w:t xml:space="preserve">evidentiary lineage chains,</w:t>
      </w:r>
    </w:p>
    <w:p>
      <w:pPr>
        <w:pStyle w:val="Compact"/>
        <w:numPr>
          <w:ilvl w:val="0"/>
          <w:numId w:val="1034"/>
        </w:numPr>
      </w:pPr>
      <w:r>
        <w:t xml:space="preserve">runtime propagation,</w:t>
      </w:r>
    </w:p>
    <w:p>
      <w:pPr>
        <w:pStyle w:val="Compact"/>
        <w:numPr>
          <w:ilvl w:val="0"/>
          <w:numId w:val="1034"/>
        </w:numPr>
      </w:pPr>
      <w:r>
        <w:t xml:space="preserve">constitutional enforcement planes.</w:t>
      </w:r>
    </w:p>
    <w:p>
      <w:pPr>
        <w:pStyle w:val="FirstParagraph"/>
      </w:pPr>
      <w:r>
        <w:t xml:space="preserve">Together, these mechanisms transform governance from passive compliance monitoring into deterministic institutional runtime enforcement.</w:t>
      </w:r>
    </w:p>
    <w:p>
      <w:pPr>
        <w:pStyle w:val="BodyText"/>
      </w:pPr>
      <w:r>
        <w:t xml:space="preserve">As agentic AI systems increasingly operate inside regulated environments, governance infrastructure can no longer remain observational.</w:t>
      </w:r>
    </w:p>
    <w:p>
      <w:pPr>
        <w:pStyle w:val="BodyText"/>
      </w:pPr>
      <w:r>
        <w:t xml:space="preserve">Institutional AI systems require deterministic operational accountability.</w:t>
      </w:r>
    </w:p>
    <w:p>
      <w:pPr>
        <w:pStyle w:val="BodyText"/>
      </w:pPr>
      <w:r>
        <w:t xml:space="preserve">Anchor Runtime represents one possible architectural foundation for that transition.</w:t>
      </w:r>
    </w:p>
    <w:p>
      <w:r>
        <w:pict>
          <v:rect style="width:0;height:1.5pt" o:hralign="center" o:hrstd="t" o:hr="t"/>
        </w:pict>
      </w:r>
    </w:p>
    <w:bookmarkEnd w:id="80"/>
    <w:bookmarkStart w:id="81" w:name="references"/>
    <w:p>
      <w:pPr>
        <w:pStyle w:val="Heading1"/>
      </w:pPr>
      <w:r>
        <w:t xml:space="preserve">References</w:t>
      </w:r>
    </w:p>
    <w:p>
      <w:pPr>
        <w:pStyle w:val="Compact"/>
        <w:numPr>
          <w:ilvl w:val="0"/>
          <w:numId w:val="1035"/>
        </w:numPr>
      </w:pPr>
      <w:r>
        <w:t xml:space="preserve">European Union AI Act 2024/1689.</w:t>
      </w:r>
    </w:p>
    <w:p>
      <w:pPr>
        <w:pStyle w:val="Compact"/>
        <w:numPr>
          <w:ilvl w:val="0"/>
          <w:numId w:val="1035"/>
        </w:numPr>
      </w:pPr>
      <w:r>
        <w:t xml:space="preserve">Reserve Bank of India FREE AI Recommendations.</w:t>
      </w:r>
    </w:p>
    <w:p>
      <w:pPr>
        <w:pStyle w:val="Compact"/>
        <w:numPr>
          <w:ilvl w:val="0"/>
          <w:numId w:val="1035"/>
        </w:numPr>
      </w:pPr>
      <w:r>
        <w:t xml:space="preserve">NIST AI Risk Management Framework.</w:t>
      </w:r>
    </w:p>
    <w:p>
      <w:pPr>
        <w:pStyle w:val="Compact"/>
        <w:numPr>
          <w:ilvl w:val="0"/>
          <w:numId w:val="1035"/>
        </w:numPr>
      </w:pPr>
      <w:r>
        <w:t xml:space="preserve">CFPB Regulation B Guidance.</w:t>
      </w:r>
    </w:p>
    <w:p>
      <w:pPr>
        <w:pStyle w:val="Compact"/>
        <w:numPr>
          <w:ilvl w:val="0"/>
          <w:numId w:val="1035"/>
        </w:numPr>
      </w:pPr>
      <w:r>
        <w:t xml:space="preserve">SEC Examination Priorities 2026.</w:t>
      </w:r>
    </w:p>
    <w:p>
      <w:pPr>
        <w:pStyle w:val="Compact"/>
        <w:numPr>
          <w:ilvl w:val="0"/>
          <w:numId w:val="1035"/>
        </w:numPr>
      </w:pPr>
      <w:r>
        <w:t xml:space="preserve">FINOS AI Governance Framework.</w:t>
      </w:r>
    </w:p>
    <w:p>
      <w:pPr>
        <w:pStyle w:val="Compact"/>
        <w:numPr>
          <w:ilvl w:val="0"/>
          <w:numId w:val="1035"/>
        </w:numPr>
      </w:pPr>
      <w:r>
        <w:t xml:space="preserve">WasmEdge Runtime Documentation.</w:t>
      </w:r>
    </w:p>
    <w:p>
      <w:pPr>
        <w:pStyle w:val="Compact"/>
        <w:numPr>
          <w:ilvl w:val="0"/>
          <w:numId w:val="1035"/>
        </w:numPr>
      </w:pPr>
      <w:r>
        <w:t xml:space="preserve">Open Policy Agent.</w:t>
      </w:r>
    </w:p>
    <w:p>
      <w:pPr>
        <w:pStyle w:val="Compact"/>
        <w:numPr>
          <w:ilvl w:val="0"/>
          <w:numId w:val="1035"/>
        </w:numPr>
      </w:pPr>
      <w:r>
        <w:t xml:space="preserve">Tree sitter Parsing Framework.</w:t>
      </w:r>
    </w:p>
    <w:p>
      <w:pPr>
        <w:pStyle w:val="Compact"/>
        <w:numPr>
          <w:ilvl w:val="0"/>
          <w:numId w:val="1035"/>
        </w:numPr>
      </w:pPr>
      <w:r>
        <w:t xml:space="preserve">Schneier and Kelsey Secure Audit Logs.</w:t>
      </w:r>
    </w:p>
    <w:p>
      <w:pPr>
        <w:pStyle w:val="Compact"/>
        <w:numPr>
          <w:ilvl w:val="0"/>
          <w:numId w:val="1035"/>
        </w:numPr>
      </w:pPr>
      <w:r>
        <w:t xml:space="preserve">Crosby and Wallach Tamper Evident Structures.</w:t>
      </w:r>
    </w:p>
    <w:p>
      <w:pPr>
        <w:pStyle w:val="Compact"/>
        <w:numPr>
          <w:ilvl w:val="0"/>
          <w:numId w:val="1035"/>
        </w:numPr>
      </w:pPr>
      <w:r>
        <w:t xml:space="preserve">Research on auditable AI systems and governance architectures.</w:t>
      </w:r>
    </w:p>
    <w:bookmarkEnd w:id="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2026-05-25T19:42:46Z</dcterms:created>
  <dcterms:modified xsi:type="dcterms:W3CDTF">2026-05-25T19:42:46Z</dcterms:modified>
</cp:coreProperties>
</file>

<file path=docProps/custom.xml><?xml version="1.0" encoding="utf-8"?>
<Properties xmlns="http://schemas.openxmlformats.org/officeDocument/2006/custom-properties" xmlns:vt="http://schemas.openxmlformats.org/officeDocument/2006/docPropsVTypes"/>
</file>