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Anchor Runtime v5.0.4</w:t>
      </w:r>
    </w:p>
    <w:p>
      <w:pPr>
        <w:jc w:val="center"/>
      </w:pPr>
      <w:r>
        <w:rPr>
          <w:b/>
          <w:sz w:val="28"/>
        </w:rPr>
        <w:t>Deterministic Governance Infrastructure for Institutional Agentic Systems</w:t>
      </w:r>
    </w:p>
    <w:p>
      <w:pPr>
        <w:jc w:val="center"/>
      </w:pPr>
      <w:r>
        <w:t>Tanishq Dasari</w:t>
        <w:br/>
        <w:t>AnimusLab Research</w:t>
        <w:br/>
        <w:t>contact@anchorgovernance.tech</w:t>
        <w:br/>
        <w:t>https://anchorgovernance.tech</w:t>
      </w:r>
    </w:p>
    <w:p>
      <w:r>
        <w:t>________________________________________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Institutional Infrastructure Preprint</w:t>
            </w:r>
          </w:p>
        </w:tc>
      </w:tr>
      <w:tr>
        <w:tc>
          <w:tcPr>
            <w:tcW w:type="dxa" w:w="4320"/>
          </w:tcPr>
          <w:p>
            <w:r>
              <w:t>Version</w:t>
            </w:r>
          </w:p>
        </w:tc>
        <w:tc>
          <w:tcPr>
            <w:tcW w:type="dxa" w:w="4320"/>
          </w:tcPr>
          <w:p>
            <w:r>
              <w:t>5.0.4 - DETERMINISTIC</w:t>
            </w:r>
          </w:p>
        </w:tc>
      </w:tr>
      <w:tr>
        <w:tc>
          <w:tcPr>
            <w:tcW w:type="dxa" w:w="4320"/>
          </w:tcPr>
          <w:p>
            <w:r>
              <w:t>Domain</w:t>
            </w:r>
          </w:p>
        </w:tc>
        <w:tc>
          <w:tcPr>
            <w:tcW w:type="dxa" w:w="4320"/>
          </w:tcPr>
          <w:p>
            <w:r>
              <w:t>Sovereign Execution, AI Runtime Governance</w:t>
            </w:r>
          </w:p>
        </w:tc>
      </w:tr>
    </w:tbl>
    <w:p>
      <w:r>
        <w:br w:type="page"/>
      </w:r>
    </w:p>
    <w:p>
      <w:pPr>
        <w:pStyle w:val="Heading1"/>
      </w:pPr>
      <w:r>
        <w:t>Abstract</w:t>
      </w:r>
    </w:p>
    <w:p>
      <w:r>
        <w:t>Anchor Runtime v5.0.4 is not a governance assistant, monitoring platform, compliance wrapper, or policy layer. It is a constitutional execution infrastructure for sovereign agentic systems.</w:t>
      </w:r>
    </w:p>
    <w:p>
      <w:r>
        <w:t>Modern AI systems are transitioning from deterministic software toward autonomous operational entities. Existing governance models remain observational. Anchor Runtime transforms institutional policy into executable constitutional infrastructure capable of deterministic authority propagation, capability enforcement, and evidentiary lineage continuity. Governance becomes an infrastructure primitive, not an afterthought.</w:t>
      </w:r>
    </w:p>
    <w:p>
      <w:pPr>
        <w:pStyle w:val="Heading1"/>
      </w:pPr>
      <w:r>
        <w:t>1. The Collapse of Observational Governance</w:t>
      </w:r>
    </w:p>
    <w:p>
      <w:r>
        <w:t>Most AI governance systems today are architecturally reactive. They observe behavior after execution. The problem is no longer model safety; the problem is runtime sovereignty. Traditional architectures fail because they rely on mutable RBAC and lack deterministic authority propagation.</w:t>
      </w:r>
    </w:p>
    <w:p>
      <w:pPr>
        <w:pStyle w:val="Heading1"/>
      </w:pPr>
      <w:r>
        <w:t>2. The Four Constitutional Verbs</w:t>
      </w:r>
    </w:p>
    <w:p>
      <w:r>
        <w:t>Anchor Runtime v5.0.4 operates through four deterministic verbs that define its cognitive execution cycle:</w:t>
      </w:r>
    </w:p>
    <w:p>
      <w:pPr>
        <w:pStyle w:val="ListBullet"/>
      </w:pPr>
      <w:r>
        <w:rPr>
          <w:b/>
        </w:rPr>
        <w:t xml:space="preserve">DECLARE: </w:t>
      </w:r>
      <w:r>
        <w:t>Formalization of operational intent via .anchor manifests. Rule evaluation is mandatory before execution.</w:t>
      </w:r>
    </w:p>
    <w:p>
      <w:pPr>
        <w:pStyle w:val="ListBullet"/>
      </w:pPr>
      <w:r>
        <w:rPr>
          <w:b/>
        </w:rPr>
        <w:t xml:space="preserve">ENFORCE: </w:t>
      </w:r>
      <w:r>
        <w:t>Runtime interception and authority gating. Anchor SDK patches execution to enable 'hard-exit' on violation.</w:t>
      </w:r>
    </w:p>
    <w:p>
      <w:pPr>
        <w:pStyle w:val="ListBullet"/>
      </w:pPr>
      <w:r>
        <w:rPr>
          <w:b/>
        </w:rPr>
        <w:t xml:space="preserve">DETECT: </w:t>
      </w:r>
      <w:r>
        <w:t>Parallel verification of architectural and semantic drift using the Diamond Cage sandbox.</w:t>
      </w:r>
    </w:p>
    <w:p>
      <w:pPr>
        <w:pStyle w:val="ListBullet"/>
      </w:pPr>
      <w:r>
        <w:rPr>
          <w:b/>
        </w:rPr>
        <w:t xml:space="preserve">PROVE: </w:t>
      </w:r>
      <w:r>
        <w:t>Generation of the Decision Audit Chain (DAC)—an append-only, cryptographically sealed record.</w:t>
      </w:r>
    </w:p>
    <w:p>
      <w:pPr>
        <w:pStyle w:val="Heading1"/>
      </w:pPr>
      <w:r>
        <w:t>3. Anchor Runtime Architecture</w:t>
      </w:r>
    </w:p>
    <w:p>
      <w:r>
        <w:t>[Diagram 1: Sovereign Infrastructure Stack - Horizontal Layering]</w:t>
      </w:r>
    </w:p>
    <w:p>
      <w:pPr>
        <w:pStyle w:val="Heading2"/>
      </w:pPr>
      <w:r>
        <w:t>3.1 Operational Gateway Architecture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Function</w:t>
            </w:r>
          </w:p>
        </w:tc>
        <w:tc>
          <w:tcPr>
            <w:tcW w:type="dxa" w:w="2160"/>
          </w:tcPr>
          <w:p>
            <w:r>
              <w:t>Persistence</w:t>
            </w:r>
          </w:p>
        </w:tc>
        <w:tc>
          <w:tcPr>
            <w:tcW w:type="dxa" w:w="2160"/>
          </w:tcPr>
          <w:p>
            <w:r>
              <w:t>Visibility</w:t>
            </w:r>
          </w:p>
        </w:tc>
      </w:tr>
      <w:tr>
        <w:tc>
          <w:tcPr>
            <w:tcW w:type="dxa" w:w="2160"/>
          </w:tcPr>
          <w:p>
            <w:r>
              <w:t>Sovereign Spoke</w:t>
            </w:r>
          </w:p>
        </w:tc>
        <w:tc>
          <w:tcPr>
            <w:tcW w:type="dxa" w:w="2160"/>
          </w:tcPr>
          <w:p>
            <w:r>
              <w:t>Local Audit Ingress</w:t>
            </w:r>
          </w:p>
        </w:tc>
        <w:tc>
          <w:tcPr>
            <w:tcW w:type="dxa" w:w="2160"/>
          </w:tcPr>
          <w:p>
            <w:r>
              <w:t>SQLite / Persistent</w:t>
            </w:r>
          </w:p>
        </w:tc>
        <w:tc>
          <w:tcPr>
            <w:tcW w:type="dxa" w:w="2160"/>
          </w:tcPr>
          <w:p>
            <w:r>
              <w:t>FULL (Enterprise Bound)</w:t>
            </w:r>
          </w:p>
        </w:tc>
      </w:tr>
      <w:tr>
        <w:tc>
          <w:tcPr>
            <w:tcW w:type="dxa" w:w="2160"/>
          </w:tcPr>
          <w:p>
            <w:r>
              <w:t>Relay Gateway</w:t>
            </w:r>
          </w:p>
        </w:tc>
        <w:tc>
          <w:tcPr>
            <w:tcW w:type="dxa" w:w="2160"/>
          </w:tcPr>
          <w:p>
            <w:r>
              <w:t>Metadata Transformation</w:t>
            </w:r>
          </w:p>
        </w:tc>
        <w:tc>
          <w:tcPr>
            <w:tcW w:type="dxa" w:w="2160"/>
          </w:tcPr>
          <w:p>
            <w:r>
              <w:t>Transient / Buffer</w:t>
            </w:r>
          </w:p>
        </w:tc>
        <w:tc>
          <w:tcPr>
            <w:tcW w:type="dxa" w:w="2160"/>
          </w:tcPr>
          <w:p>
            <w:r>
              <w:t>ENCRYPTED (HMAC-SHA256)</w:t>
            </w:r>
          </w:p>
        </w:tc>
      </w:tr>
      <w:tr>
        <w:tc>
          <w:tcPr>
            <w:tcW w:type="dxa" w:w="2160"/>
          </w:tcPr>
          <w:p>
            <w:r>
              <w:t>Federated Hub</w:t>
            </w:r>
          </w:p>
        </w:tc>
        <w:tc>
          <w:tcPr>
            <w:tcW w:type="dxa" w:w="2160"/>
          </w:tcPr>
          <w:p>
            <w:r>
              <w:t>Governance Coordination</w:t>
            </w:r>
          </w:p>
        </w:tc>
        <w:tc>
          <w:tcPr>
            <w:tcW w:type="dxa" w:w="2160"/>
          </w:tcPr>
          <w:p>
            <w:r>
              <w:t>Global Ledger / Postgres</w:t>
            </w:r>
          </w:p>
        </w:tc>
        <w:tc>
          <w:tcPr>
            <w:tcW w:type="dxa" w:w="2160"/>
          </w:tcPr>
          <w:p>
            <w:r>
              <w:t>METADATA-ONLY</w:t>
            </w:r>
          </w:p>
        </w:tc>
      </w:tr>
      <w:tr>
        <w:tc>
          <w:tcPr>
            <w:tcW w:type="dxa" w:w="2160"/>
          </w:tcPr>
          <w:p>
            <w:r>
              <w:t>Oversight Node</w:t>
            </w:r>
          </w:p>
        </w:tc>
        <w:tc>
          <w:tcPr>
            <w:tcW w:type="dxa" w:w="2160"/>
          </w:tcPr>
          <w:p>
            <w:r>
              <w:t>Regulator Transparency</w:t>
            </w:r>
          </w:p>
        </w:tc>
        <w:tc>
          <w:tcPr>
            <w:tcW w:type="dxa" w:w="2160"/>
          </w:tcPr>
          <w:p>
            <w:r>
              <w:t>Read-Only View</w:t>
            </w:r>
          </w:p>
        </w:tc>
        <w:tc>
          <w:tcPr>
            <w:tcW w:type="dxa" w:w="2160"/>
          </w:tcPr>
          <w:p>
            <w:r>
              <w:t>JURISDICTION-SCOPED</w:t>
            </w:r>
          </w:p>
        </w:tc>
      </w:tr>
    </w:tbl>
    <w:p>
      <w:pPr>
        <w:pStyle w:val="Heading2"/>
      </w:pPr>
      <w:r>
        <w:t>3.2 Global Governance Domains</w:t>
      </w:r>
    </w:p>
    <w:p>
      <w:r>
        <w:t>Anchor v5.0.4 governs the mesh via 9 fundamental semantic domains:</w:t>
      </w:r>
    </w:p>
    <w:p>
      <w:pPr>
        <w:pStyle w:val="ListBullet"/>
      </w:pPr>
      <w:r>
        <w:rPr>
          <w:b/>
        </w:rPr>
        <w:t xml:space="preserve">SEC (Security): </w:t>
      </w:r>
      <w:r>
        <w:t>Verification of input/output for malicious injections and exfiltration.</w:t>
      </w:r>
    </w:p>
    <w:p>
      <w:pPr>
        <w:pStyle w:val="ListBullet"/>
      </w:pPr>
      <w:r>
        <w:rPr>
          <w:b/>
        </w:rPr>
        <w:t xml:space="preserve">ETH (Ethics): </w:t>
      </w:r>
      <w:r>
        <w:t>Aho-Corasick proxy scanning for behavioral alignment.</w:t>
      </w:r>
    </w:p>
    <w:p>
      <w:pPr>
        <w:pStyle w:val="ListBullet"/>
      </w:pPr>
      <w:r>
        <w:rPr>
          <w:b/>
        </w:rPr>
        <w:t xml:space="preserve">PRV (Privacy): </w:t>
      </w:r>
      <w:r>
        <w:t>PII and sensitive data extraction gating.</w:t>
      </w:r>
    </w:p>
    <w:p>
      <w:pPr>
        <w:pStyle w:val="ListBullet"/>
      </w:pPr>
      <w:r>
        <w:rPr>
          <w:b/>
        </w:rPr>
        <w:t xml:space="preserve">ALN (Alignment): </w:t>
      </w:r>
      <w:r>
        <w:t>Enforcing declared intent against execution drift.</w:t>
      </w:r>
    </w:p>
    <w:p>
      <w:pPr>
        <w:pStyle w:val="ListBullet"/>
      </w:pPr>
      <w:r>
        <w:rPr>
          <w:b/>
        </w:rPr>
        <w:t xml:space="preserve">AGT (Agency): </w:t>
      </w:r>
      <w:r>
        <w:t>Monitoring recursive tool invocation and delegated authority.</w:t>
      </w:r>
    </w:p>
    <w:p>
      <w:pPr>
        <w:pStyle w:val="ListBullet"/>
      </w:pPr>
      <w:r>
        <w:rPr>
          <w:b/>
        </w:rPr>
        <w:t xml:space="preserve">LEG (Legal): </w:t>
      </w:r>
      <w:r>
        <w:t>Direct mapping to regulatory dialetics.</w:t>
      </w:r>
    </w:p>
    <w:p>
      <w:pPr>
        <w:pStyle w:val="ListBullet"/>
      </w:pPr>
      <w:r>
        <w:rPr>
          <w:b/>
        </w:rPr>
        <w:t xml:space="preserve">OPS (Operations): </w:t>
      </w:r>
      <w:r>
        <w:t>Service-level and configuration integrity.</w:t>
      </w:r>
    </w:p>
    <w:p>
      <w:pPr>
        <w:pStyle w:val="ListBullet"/>
      </w:pPr>
      <w:r>
        <w:rPr>
          <w:b/>
        </w:rPr>
        <w:t xml:space="preserve">SUP (Supply): </w:t>
      </w:r>
      <w:r>
        <w:t>Third-party dependency and provenance tracking.</w:t>
      </w:r>
    </w:p>
    <w:p>
      <w:pPr>
        <w:pStyle w:val="ListBullet"/>
      </w:pPr>
      <w:r>
        <w:rPr>
          <w:b/>
        </w:rPr>
        <w:t xml:space="preserve">SHR (Sharing): </w:t>
      </w:r>
      <w:r>
        <w:t>Cross-hub data synchronization boundaries.</w:t>
      </w:r>
    </w:p>
    <w:p>
      <w:pPr>
        <w:pStyle w:val="Heading2"/>
      </w:pPr>
      <w:r>
        <w:t>3.3 Institutional Oversight (The 6 Dialects)</w:t>
      </w:r>
    </w:p>
    <w:p>
      <w:r>
        <w:t>The runtime implements native translation for major regulatory frameworks:</w:t>
      </w:r>
    </w:p>
    <w:p>
      <w:pPr>
        <w:pStyle w:val="ListBullet"/>
      </w:pPr>
      <w:r>
        <w:t>RBI (Reserve Bank of India)</w:t>
      </w:r>
    </w:p>
    <w:p>
      <w:pPr>
        <w:pStyle w:val="ListBullet"/>
      </w:pPr>
      <w:r>
        <w:t>EU (EU AI Act)</w:t>
      </w:r>
    </w:p>
    <w:p>
      <w:pPr>
        <w:pStyle w:val="ListBullet"/>
      </w:pPr>
      <w:r>
        <w:t>SEC (US Securities &amp; Exchange)</w:t>
      </w:r>
    </w:p>
    <w:p>
      <w:pPr>
        <w:pStyle w:val="ListBullet"/>
      </w:pPr>
      <w:r>
        <w:t>SEBI (India Securities)</w:t>
      </w:r>
    </w:p>
    <w:p>
      <w:pPr>
        <w:pStyle w:val="ListBullet"/>
      </w:pPr>
      <w:r>
        <w:t>CFPB (US Consumer Finance)</w:t>
      </w:r>
    </w:p>
    <w:p>
      <w:pPr>
        <w:pStyle w:val="ListBullet"/>
      </w:pPr>
      <w:r>
        <w:t>FCA (UK Financial Conduct)</w:t>
      </w:r>
    </w:p>
    <w:p>
      <w:pPr>
        <w:pStyle w:val="Heading2"/>
      </w:pPr>
      <w:r>
        <w:t>3.4 Key API Endpoints (v5.0.4)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Endpoint</w:t>
            </w:r>
          </w:p>
        </w:tc>
        <w:tc>
          <w:tcPr>
            <w:tcW w:type="dxa" w:w="2160"/>
          </w:tcPr>
          <w:p>
            <w:r>
              <w:t>Method</w:t>
            </w:r>
          </w:p>
        </w:tc>
        <w:tc>
          <w:tcPr>
            <w:tcW w:type="dxa" w:w="2160"/>
          </w:tcPr>
          <w:p>
            <w:r>
              <w:t>Purpose</w:t>
            </w:r>
          </w:p>
        </w:tc>
      </w:tr>
      <w:tr>
        <w:tc>
          <w:tcPr>
            <w:tcW w:type="dxa" w:w="2160"/>
          </w:tcPr>
          <w:p>
            <w:r>
              <w:t>Identity</w:t>
            </w:r>
          </w:p>
        </w:tc>
        <w:tc>
          <w:tcPr>
            <w:tcW w:type="dxa" w:w="2160"/>
          </w:tcPr>
          <w:p>
            <w:r>
              <w:t>/api/auth/identify-first</w:t>
            </w:r>
          </w:p>
        </w:tc>
        <w:tc>
          <w:tcPr>
            <w:tcW w:type="dxa" w:w="2160"/>
          </w:tcPr>
          <w:p>
            <w:r>
              <w:t>POST</w:t>
            </w:r>
          </w:p>
        </w:tc>
        <w:tc>
          <w:tcPr>
            <w:tcW w:type="dxa" w:w="2160"/>
          </w:tcPr>
          <w:p>
            <w:r>
              <w:t>Initial Clearance ID lookup</w:t>
            </w:r>
          </w:p>
        </w:tc>
      </w:tr>
      <w:tr>
        <w:tc>
          <w:tcPr>
            <w:tcW w:type="dxa" w:w="2160"/>
          </w:tcPr>
          <w:p>
            <w:r>
              <w:t>Identity</w:t>
            </w:r>
          </w:p>
        </w:tc>
        <w:tc>
          <w:tcPr>
            <w:tcW w:type="dxa" w:w="2160"/>
          </w:tcPr>
          <w:p>
            <w:r>
              <w:t>/api/auth/me</w:t>
            </w:r>
          </w:p>
        </w:tc>
        <w:tc>
          <w:tcPr>
            <w:tcW w:type="dxa" w:w="2160"/>
          </w:tcPr>
          <w:p>
            <w:r>
              <w:t>GET</w:t>
            </w:r>
          </w:p>
        </w:tc>
        <w:tc>
          <w:tcPr>
            <w:tcW w:type="dxa" w:w="2160"/>
          </w:tcPr>
          <w:p>
            <w:r>
              <w:t>Profile &amp; Institutional context</w:t>
            </w:r>
          </w:p>
        </w:tc>
      </w:tr>
      <w:tr>
        <w:tc>
          <w:tcPr>
            <w:tcW w:type="dxa" w:w="2160"/>
          </w:tcPr>
          <w:p>
            <w:r>
              <w:t>Forensics</w:t>
            </w:r>
          </w:p>
        </w:tc>
        <w:tc>
          <w:tcPr>
            <w:tcW w:type="dxa" w:w="2160"/>
          </w:tcPr>
          <w:p>
            <w:r>
              <w:t>/api/forensic/request</w:t>
            </w:r>
          </w:p>
        </w:tc>
        <w:tc>
          <w:tcPr>
            <w:tcW w:type="dxa" w:w="2160"/>
          </w:tcPr>
          <w:p>
            <w:r>
              <w:t>POST</w:t>
            </w:r>
          </w:p>
        </w:tc>
        <w:tc>
          <w:tcPr>
            <w:tcW w:type="dxa" w:w="2160"/>
          </w:tcPr>
          <w:p>
            <w:r>
              <w:t>Auditor permission escalation</w:t>
            </w:r>
          </w:p>
        </w:tc>
      </w:tr>
      <w:tr>
        <w:tc>
          <w:tcPr>
            <w:tcW w:type="dxa" w:w="2160"/>
          </w:tcPr>
          <w:p>
            <w:r>
              <w:t>Forensics</w:t>
            </w:r>
          </w:p>
        </w:tc>
        <w:tc>
          <w:tcPr>
            <w:tcW w:type="dxa" w:w="2160"/>
          </w:tcPr>
          <w:p>
            <w:r>
              <w:t>/api/forensic/replay/{id}</w:t>
            </w:r>
          </w:p>
        </w:tc>
        <w:tc>
          <w:tcPr>
            <w:tcW w:type="dxa" w:w="2160"/>
          </w:tcPr>
          <w:p>
            <w:r>
              <w:t>GET</w:t>
            </w:r>
          </w:p>
        </w:tc>
        <w:tc>
          <w:tcPr>
            <w:tcW w:type="dxa" w:w="2160"/>
          </w:tcPr>
          <w:p>
            <w:r>
              <w:t>Deterministic chain reconstruction</w:t>
            </w:r>
          </w:p>
        </w:tc>
      </w:tr>
      <w:tr>
        <w:tc>
          <w:tcPr>
            <w:tcW w:type="dxa" w:w="2160"/>
          </w:tcPr>
          <w:p>
            <w:r>
              <w:t>Audit</w:t>
            </w:r>
          </w:p>
        </w:tc>
        <w:tc>
          <w:tcPr>
            <w:tcW w:type="dxa" w:w="2160"/>
          </w:tcPr>
          <w:p>
            <w:r>
              <w:t>/api/ledger</w:t>
            </w:r>
          </w:p>
        </w:tc>
        <w:tc>
          <w:tcPr>
            <w:tcW w:type="dxa" w:w="2160"/>
          </w:tcPr>
          <w:p>
            <w:r>
              <w:t>GET/POST</w:t>
            </w:r>
          </w:p>
        </w:tc>
        <w:tc>
          <w:tcPr>
            <w:tcW w:type="dxa" w:w="2160"/>
          </w:tcPr>
          <w:p>
            <w:r>
              <w:t>Ingress/Query for governance events</w:t>
            </w:r>
          </w:p>
        </w:tc>
      </w:tr>
      <w:tr>
        <w:tc>
          <w:tcPr>
            <w:tcW w:type="dxa" w:w="2160"/>
          </w:tcPr>
          <w:p>
            <w:r>
              <w:t>Relay</w:t>
            </w:r>
          </w:p>
        </w:tc>
        <w:tc>
          <w:tcPr>
            <w:tcW w:type="dxa" w:w="2160"/>
          </w:tcPr>
          <w:p>
            <w:r>
              <w:t>/ws/spoke</w:t>
            </w:r>
          </w:p>
        </w:tc>
        <w:tc>
          <w:tcPr>
            <w:tcW w:type="dxa" w:w="2160"/>
          </w:tcPr>
          <w:p>
            <w:r>
              <w:t>WSS</w:t>
            </w:r>
          </w:p>
        </w:tc>
        <w:tc>
          <w:tcPr>
            <w:tcW w:type="dxa" w:w="2160"/>
          </w:tcPr>
          <w:p>
            <w:r>
              <w:t>Persistent Spoke-Hub handshake</w:t>
            </w:r>
          </w:p>
        </w:tc>
      </w:tr>
      <w:tr>
        <w:tc>
          <w:tcPr>
            <w:tcW w:type="dxa" w:w="2160"/>
          </w:tcPr>
          <w:p>
            <w:r>
              <w:t>Integrity</w:t>
            </w:r>
          </w:p>
        </w:tc>
        <w:tc>
          <w:tcPr>
            <w:tcW w:type="dxa" w:w="2160"/>
          </w:tcPr>
          <w:p>
            <w:r>
              <w:t>/api/audit/{id}/verify</w:t>
            </w:r>
          </w:p>
        </w:tc>
        <w:tc>
          <w:tcPr>
            <w:tcW w:type="dxa" w:w="2160"/>
          </w:tcPr>
          <w:p>
            <w:r>
              <w:t>GET</w:t>
            </w:r>
          </w:p>
        </w:tc>
        <w:tc>
          <w:tcPr>
            <w:tcW w:type="dxa" w:w="2160"/>
          </w:tcPr>
          <w:p>
            <w:r>
              <w:t>Cryptographic chain validation</w:t>
            </w:r>
          </w:p>
        </w:tc>
      </w:tr>
    </w:tbl>
    <w:p>
      <w:pPr>
        <w:pStyle w:val="Heading1"/>
      </w:pPr>
      <w:r>
        <w:t>4. Forensic Reconstruction</w:t>
      </w:r>
    </w:p>
    <w:p>
      <w:r>
        <w:t>[Diagram 2: Evidence Continuity Chain - JWT -&gt; Exec -&gt; DAC -&gt; Replay]</w:t>
      </w:r>
    </w:p>
    <w:p>
      <w:r>
        <w:t>Anchor treats replay as a sovereign forensic requirement. Raw payloads NEVER leave the enterprise perimeter via REST. They only travel over the brokered WebSocket relay, AES-256-GCM encrypted, on explicit authorization. Forensic Pull requests are themselves logged as governance events.</w:t>
      </w:r>
    </w:p>
    <w:p>
      <w:pPr>
        <w:pStyle w:val="Heading1"/>
      </w:pPr>
      <w:r>
        <w:t>5. Differential Behavioral Verification (Diamond Cage)</w:t>
      </w:r>
    </w:p>
    <w:p>
      <w:r>
        <w:t>The Diamond Cage is a WASM-isolated sandbox that performs side-by-side comparison of original and patched codebases. It detects architectural drift where logic expands beyond its original semantic intent.</w:t>
      </w:r>
    </w:p>
    <w:p>
      <w:pPr>
        <w:pStyle w:val="Heading1"/>
      </w:pPr>
      <w:r>
        <w:t>6. Strategic Implications</w:t>
      </w:r>
    </w:p>
    <w:p>
      <w:r>
        <w:t>For institutions like J.P. Morgan or BlackRock, the game is not about 'buying AI.' It is about architecting the systems those institutions depend on. Anchor is the black-box recorder and governance kernel for autonomous capital.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Institutional Integrity Guaranteed by Anchor Governance v5.0.4 | AnimusLab Infrastructure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