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E2908" w14:textId="77777777" w:rsidR="004F1976" w:rsidRPr="00405021" w:rsidRDefault="004F1976" w:rsidP="002C4CF3">
      <w:pPr>
        <w:rPr>
          <w:rFonts w:ascii="Calibri" w:hAnsi="Calibri" w:cs="Calibri"/>
        </w:rPr>
      </w:pPr>
    </w:p>
    <w:p w14:paraId="3DED25E5" w14:textId="4B1E0407" w:rsidR="00572DD9" w:rsidRPr="00405021" w:rsidRDefault="00B003A3" w:rsidP="00B003A3">
      <w:pPr>
        <w:pStyle w:val="Title"/>
        <w:rPr>
          <w:rFonts w:ascii="Calibri" w:eastAsia="Times New Roman" w:hAnsi="Calibri" w:cs="Calibri"/>
          <w:kern w:val="0"/>
          <w:sz w:val="48"/>
          <w:szCs w:val="48"/>
          <w:lang w:eastAsia="en-IN"/>
          <w14:ligatures w14:val="none"/>
        </w:rPr>
      </w:pPr>
      <w:r w:rsidRPr="00405021">
        <w:rPr>
          <w:rFonts w:ascii="Calibri" w:hAnsi="Calibri" w:cs="Calibri"/>
          <w:sz w:val="48"/>
          <w:szCs w:val="48"/>
        </w:rPr>
        <w:t>Integrating Econometric and Machine</w:t>
      </w:r>
      <w:r w:rsidRPr="00405021">
        <w:rPr>
          <w:rFonts w:ascii="Calibri" w:hAnsi="Calibri" w:cs="Calibri"/>
          <w:sz w:val="48"/>
          <w:szCs w:val="48"/>
        </w:rPr>
        <w:noBreakHyphen/>
        <w:t>Learning Approaches to Optimise Credit</w:t>
      </w:r>
      <w:r w:rsidRPr="00405021">
        <w:rPr>
          <w:rFonts w:ascii="Calibri" w:hAnsi="Calibri" w:cs="Calibri"/>
          <w:sz w:val="48"/>
          <w:szCs w:val="48"/>
        </w:rPr>
        <w:noBreakHyphen/>
        <w:t>Card Spend and Retention</w:t>
      </w:r>
    </w:p>
    <w:p w14:paraId="578FCE25" w14:textId="7A7F2AB7" w:rsidR="00DC33B3" w:rsidRPr="00405021" w:rsidRDefault="009B720F" w:rsidP="00DC33B3">
      <w:pPr>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pict w14:anchorId="62BCC9A1">
          <v:rect id="_x0000_i1025" style="width:0;height:1.5pt" o:hralign="center" o:hrstd="t" o:hr="t" fillcolor="#a0a0a0" stroked="f"/>
        </w:pict>
      </w:r>
    </w:p>
    <w:p w14:paraId="1941F6BF" w14:textId="05E9721C" w:rsidR="00711FEE" w:rsidRPr="00405021" w:rsidRDefault="00415576" w:rsidP="00711FEE">
      <w:pPr>
        <w:pStyle w:val="Heading1"/>
        <w:rPr>
          <w:rFonts w:ascii="Calibri" w:eastAsia="Times New Roman" w:hAnsi="Calibri" w:cs="Calibri"/>
          <w:lang w:eastAsia="en-IN"/>
        </w:rPr>
      </w:pPr>
      <w:bookmarkStart w:id="0" w:name="_Toc197375883"/>
      <w:r w:rsidRPr="00405021">
        <w:rPr>
          <w:rFonts w:ascii="Calibri" w:eastAsia="Times New Roman" w:hAnsi="Calibri" w:cs="Calibri"/>
          <w:lang w:eastAsia="en-IN"/>
        </w:rPr>
        <w:t>Executive Summary</w:t>
      </w:r>
      <w:bookmarkEnd w:id="0"/>
    </w:p>
    <w:p w14:paraId="12A3C58C" w14:textId="2E50DCC2" w:rsidR="00711FEE" w:rsidRPr="00405021" w:rsidRDefault="00711FEE" w:rsidP="00711FEE">
      <w:pPr>
        <w:pStyle w:val="NormalWeb"/>
        <w:rPr>
          <w:rFonts w:ascii="Calibri" w:hAnsi="Calibri" w:cs="Calibri"/>
        </w:rPr>
      </w:pPr>
      <w:r w:rsidRPr="00405021">
        <w:rPr>
          <w:rFonts w:ascii="Calibri" w:hAnsi="Calibri" w:cs="Calibri"/>
        </w:rPr>
        <w:t>This study leverages an integrated econometric and machine learning approach to analyze 10</w:t>
      </w:r>
      <w:r w:rsidR="003D1274" w:rsidRPr="00405021">
        <w:rPr>
          <w:rFonts w:ascii="Calibri" w:hAnsi="Calibri" w:cs="Calibri"/>
        </w:rPr>
        <w:t>,</w:t>
      </w:r>
      <w:r w:rsidRPr="00405021">
        <w:rPr>
          <w:rFonts w:ascii="Calibri" w:hAnsi="Calibri" w:cs="Calibri"/>
        </w:rPr>
        <w:t>127 US credit card accounts, revealing actionable behavioral patterns driving portfolio value.</w:t>
      </w:r>
      <w:r w:rsidR="00B72EA3" w:rsidRPr="00405021">
        <w:rPr>
          <w:rFonts w:ascii="Calibri" w:hAnsi="Calibri" w:cs="Calibri"/>
        </w:rPr>
        <w:t xml:space="preserve"> The</w:t>
      </w:r>
      <w:r w:rsidRPr="00405021">
        <w:rPr>
          <w:rFonts w:ascii="Calibri" w:hAnsi="Calibri" w:cs="Calibri"/>
        </w:rPr>
        <w:t xml:space="preserve"> ordinary least squares</w:t>
      </w:r>
      <w:r w:rsidR="00B72EA3" w:rsidRPr="00405021">
        <w:rPr>
          <w:rFonts w:ascii="Calibri" w:hAnsi="Calibri" w:cs="Calibri"/>
        </w:rPr>
        <w:t>(OLS)</w:t>
      </w:r>
      <w:r w:rsidRPr="00405021">
        <w:rPr>
          <w:rFonts w:ascii="Calibri" w:hAnsi="Calibri" w:cs="Calibri"/>
        </w:rPr>
        <w:t xml:space="preserve"> model demonstrates that c</w:t>
      </w:r>
      <w:r w:rsidR="008C0CF0" w:rsidRPr="00405021">
        <w:rPr>
          <w:rFonts w:ascii="Calibri" w:hAnsi="Calibri" w:cs="Calibri"/>
        </w:rPr>
        <w:t>redit limit</w:t>
      </w:r>
      <w:r w:rsidRPr="00405021">
        <w:rPr>
          <w:rFonts w:ascii="Calibri" w:hAnsi="Calibri" w:cs="Calibri"/>
        </w:rPr>
        <w:t xml:space="preserve"> and usage patterns significantly outweigh demographic factors: each additional $1000 in credit limit generates $42 in annual spend, while a single inactive month reduces spending by $103.</w:t>
      </w:r>
    </w:p>
    <w:p w14:paraId="2FDE3C44" w14:textId="0A1A5308" w:rsidR="00711FEE" w:rsidRPr="00405021" w:rsidRDefault="00711FEE" w:rsidP="00711FEE">
      <w:pPr>
        <w:pStyle w:val="NormalWeb"/>
        <w:rPr>
          <w:rFonts w:ascii="Calibri" w:hAnsi="Calibri" w:cs="Calibri"/>
        </w:rPr>
      </w:pPr>
      <w:r w:rsidRPr="00405021">
        <w:rPr>
          <w:rFonts w:ascii="Calibri" w:hAnsi="Calibri" w:cs="Calibri"/>
        </w:rPr>
        <w:t>Further analysis with interaction terms identifies a critical "constraint-release" threshold at $2475 in credit limits. Above this threshold, higher utilization actually decreases attrition risk; below it, high utilization accelerates customer departures</w:t>
      </w:r>
      <w:r w:rsidR="000C1C81" w:rsidRPr="00405021">
        <w:rPr>
          <w:rFonts w:ascii="Calibri" w:hAnsi="Calibri" w:cs="Calibri"/>
        </w:rPr>
        <w:t xml:space="preserve"> </w:t>
      </w:r>
      <w:r w:rsidRPr="00405021">
        <w:rPr>
          <w:rFonts w:ascii="Calibri" w:hAnsi="Calibri" w:cs="Calibri"/>
        </w:rPr>
        <w:t>informing a precision two-tier limit management strategy.</w:t>
      </w:r>
    </w:p>
    <w:p w14:paraId="7BBABD37" w14:textId="352AFB57" w:rsidR="00711FEE" w:rsidRPr="00405021" w:rsidRDefault="000C1C81" w:rsidP="00711FEE">
      <w:pPr>
        <w:pStyle w:val="NormalWeb"/>
        <w:rPr>
          <w:rFonts w:ascii="Calibri" w:hAnsi="Calibri" w:cs="Calibri"/>
        </w:rPr>
      </w:pPr>
      <w:r w:rsidRPr="00405021">
        <w:rPr>
          <w:rFonts w:ascii="Calibri" w:hAnsi="Calibri" w:cs="Calibri"/>
        </w:rPr>
        <w:t>The</w:t>
      </w:r>
      <w:r w:rsidR="00711FEE" w:rsidRPr="00405021">
        <w:rPr>
          <w:rFonts w:ascii="Calibri" w:hAnsi="Calibri" w:cs="Calibri"/>
        </w:rPr>
        <w:t xml:space="preserve"> logistic churn model (AUC = 0.85) identifies transaction frequency, inactivity periods, and premium card tiers as the strongest predictors of customer exits. A complementary random forest classifier efficiently identifies future churners, capturing 60% of departing customers by focusing on just the highest-risk 10% of accounts.</w:t>
      </w:r>
    </w:p>
    <w:p w14:paraId="45F9CFE1" w14:textId="77777777" w:rsidR="00711FEE" w:rsidRPr="00405021" w:rsidRDefault="00711FEE" w:rsidP="00711FEE">
      <w:pPr>
        <w:pStyle w:val="NormalWeb"/>
        <w:rPr>
          <w:rFonts w:ascii="Calibri" w:hAnsi="Calibri" w:cs="Calibri"/>
        </w:rPr>
      </w:pPr>
      <w:r w:rsidRPr="00405021">
        <w:rPr>
          <w:rFonts w:ascii="Calibri" w:hAnsi="Calibri" w:cs="Calibri"/>
        </w:rPr>
        <w:t>The resulting "size-timing-target" decision framework optimizes credit limit adjustments, triggers re-engagement initiatives after 30 days of inactivity, and prioritizes retention efforts for high-value, high-risk customers. Conservative estimates project $6-8 million in additional annual margin and a 33% reduction in preventable churn, demonstrating the business impact of analytics-driven marketing strategies grounded in behavioral science.</w:t>
      </w:r>
    </w:p>
    <w:p w14:paraId="1FEC3D32" w14:textId="200F2F02" w:rsidR="00DC33B3" w:rsidRPr="00405021" w:rsidRDefault="00DC33B3" w:rsidP="00DC33B3">
      <w:pPr>
        <w:spacing w:after="0" w:line="240" w:lineRule="auto"/>
        <w:rPr>
          <w:rFonts w:ascii="Calibri" w:eastAsia="Times New Roman" w:hAnsi="Calibri" w:cs="Calibri"/>
          <w:kern w:val="0"/>
          <w:lang w:eastAsia="en-IN"/>
          <w14:ligatures w14:val="none"/>
        </w:rPr>
      </w:pPr>
    </w:p>
    <w:p w14:paraId="1226F5F2"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0FA4FEE4"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0A9D5094"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507909A4"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4648D349"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5C089893"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27B4AA79"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6F9A745A"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1550729E"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0B6BEB63"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0521D80B"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3D5677F7"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p w14:paraId="299BB86C" w14:textId="77777777" w:rsidR="002C4CF3" w:rsidRPr="00405021" w:rsidRDefault="002C4CF3" w:rsidP="00DC33B3">
      <w:pPr>
        <w:spacing w:after="0" w:line="240" w:lineRule="auto"/>
        <w:rPr>
          <w:rFonts w:ascii="Calibri" w:eastAsia="Times New Roman" w:hAnsi="Calibri" w:cs="Calibri"/>
          <w:kern w:val="0"/>
          <w:lang w:eastAsia="en-IN"/>
          <w14:ligatures w14:val="none"/>
        </w:rPr>
      </w:pPr>
    </w:p>
    <w:sdt>
      <w:sdtPr>
        <w:rPr>
          <w:rFonts w:ascii="Calibri" w:eastAsiaTheme="minorHAnsi" w:hAnsi="Calibri" w:cs="Calibri"/>
          <w:color w:val="auto"/>
          <w:kern w:val="2"/>
          <w:sz w:val="24"/>
          <w:szCs w:val="24"/>
          <w:lang w:val="en-IN"/>
          <w14:ligatures w14:val="standardContextual"/>
        </w:rPr>
        <w:id w:val="10877842"/>
        <w:docPartObj>
          <w:docPartGallery w:val="Table of Contents"/>
          <w:docPartUnique/>
        </w:docPartObj>
      </w:sdtPr>
      <w:sdtEndPr>
        <w:rPr>
          <w:noProof/>
        </w:rPr>
      </w:sdtEndPr>
      <w:sdtContent>
        <w:p w14:paraId="4442393C" w14:textId="0F8BC6B4" w:rsidR="00610048" w:rsidRPr="00405021" w:rsidRDefault="00610048">
          <w:pPr>
            <w:pStyle w:val="TOCHeading"/>
            <w:rPr>
              <w:rFonts w:ascii="Calibri" w:hAnsi="Calibri" w:cs="Calibri"/>
            </w:rPr>
          </w:pPr>
          <w:r w:rsidRPr="00405021">
            <w:rPr>
              <w:rFonts w:ascii="Calibri" w:hAnsi="Calibri" w:cs="Calibri"/>
            </w:rPr>
            <w:t>Table of Contents</w:t>
          </w:r>
        </w:p>
        <w:p w14:paraId="6E6FB199" w14:textId="122EB8F0" w:rsidR="00F10ED2" w:rsidRDefault="00610048">
          <w:pPr>
            <w:pStyle w:val="TOC1"/>
            <w:tabs>
              <w:tab w:val="right" w:leader="dot" w:pos="9016"/>
            </w:tabs>
            <w:rPr>
              <w:rFonts w:eastAsiaTheme="minorEastAsia"/>
              <w:noProof/>
              <w:lang w:eastAsia="en-IN"/>
            </w:rPr>
          </w:pPr>
          <w:r w:rsidRPr="00405021">
            <w:rPr>
              <w:rFonts w:ascii="Calibri" w:hAnsi="Calibri" w:cs="Calibri"/>
            </w:rPr>
            <w:fldChar w:fldCharType="begin"/>
          </w:r>
          <w:r w:rsidRPr="00405021">
            <w:rPr>
              <w:rFonts w:ascii="Calibri" w:hAnsi="Calibri" w:cs="Calibri"/>
            </w:rPr>
            <w:instrText xml:space="preserve"> TOC \o "1-3" \h \z \u </w:instrText>
          </w:r>
          <w:r w:rsidRPr="00405021">
            <w:rPr>
              <w:rFonts w:ascii="Calibri" w:hAnsi="Calibri" w:cs="Calibri"/>
            </w:rPr>
            <w:fldChar w:fldCharType="separate"/>
          </w:r>
          <w:hyperlink w:anchor="_Toc197375883" w:history="1">
            <w:r w:rsidR="00F10ED2" w:rsidRPr="00874538">
              <w:rPr>
                <w:rStyle w:val="Hyperlink"/>
                <w:rFonts w:ascii="Calibri" w:eastAsia="Times New Roman" w:hAnsi="Calibri" w:cs="Calibri"/>
                <w:noProof/>
                <w:lang w:eastAsia="en-IN"/>
              </w:rPr>
              <w:t>Executive Summary</w:t>
            </w:r>
            <w:r w:rsidR="00F10ED2">
              <w:rPr>
                <w:noProof/>
                <w:webHidden/>
              </w:rPr>
              <w:tab/>
            </w:r>
            <w:r w:rsidR="00F10ED2">
              <w:rPr>
                <w:noProof/>
                <w:webHidden/>
              </w:rPr>
              <w:fldChar w:fldCharType="begin"/>
            </w:r>
            <w:r w:rsidR="00F10ED2">
              <w:rPr>
                <w:noProof/>
                <w:webHidden/>
              </w:rPr>
              <w:instrText xml:space="preserve"> PAGEREF _Toc197375883 \h </w:instrText>
            </w:r>
            <w:r w:rsidR="00F10ED2">
              <w:rPr>
                <w:noProof/>
                <w:webHidden/>
              </w:rPr>
            </w:r>
            <w:r w:rsidR="00F10ED2">
              <w:rPr>
                <w:noProof/>
                <w:webHidden/>
              </w:rPr>
              <w:fldChar w:fldCharType="separate"/>
            </w:r>
            <w:r w:rsidR="00F10ED2">
              <w:rPr>
                <w:noProof/>
                <w:webHidden/>
              </w:rPr>
              <w:t>3</w:t>
            </w:r>
            <w:r w:rsidR="00F10ED2">
              <w:rPr>
                <w:noProof/>
                <w:webHidden/>
              </w:rPr>
              <w:fldChar w:fldCharType="end"/>
            </w:r>
          </w:hyperlink>
        </w:p>
        <w:p w14:paraId="4DFD1C10" w14:textId="1F67CF1D" w:rsidR="00F10ED2" w:rsidRDefault="00F10ED2">
          <w:pPr>
            <w:pStyle w:val="TOC1"/>
            <w:tabs>
              <w:tab w:val="right" w:leader="dot" w:pos="9016"/>
            </w:tabs>
            <w:rPr>
              <w:rFonts w:eastAsiaTheme="minorEastAsia"/>
              <w:noProof/>
              <w:lang w:eastAsia="en-IN"/>
            </w:rPr>
          </w:pPr>
          <w:hyperlink w:anchor="_Toc197375884" w:history="1">
            <w:r w:rsidRPr="00874538">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_Toc197375884 \h </w:instrText>
            </w:r>
            <w:r>
              <w:rPr>
                <w:noProof/>
                <w:webHidden/>
              </w:rPr>
            </w:r>
            <w:r>
              <w:rPr>
                <w:noProof/>
                <w:webHidden/>
              </w:rPr>
              <w:fldChar w:fldCharType="separate"/>
            </w:r>
            <w:r>
              <w:rPr>
                <w:noProof/>
                <w:webHidden/>
              </w:rPr>
              <w:t>6</w:t>
            </w:r>
            <w:r>
              <w:rPr>
                <w:noProof/>
                <w:webHidden/>
              </w:rPr>
              <w:fldChar w:fldCharType="end"/>
            </w:r>
          </w:hyperlink>
        </w:p>
        <w:p w14:paraId="022A77CB" w14:textId="166D7C05" w:rsidR="00F10ED2" w:rsidRDefault="00F10ED2">
          <w:pPr>
            <w:pStyle w:val="TOC2"/>
            <w:tabs>
              <w:tab w:val="right" w:leader="dot" w:pos="9016"/>
            </w:tabs>
            <w:rPr>
              <w:rFonts w:eastAsiaTheme="minorEastAsia"/>
              <w:noProof/>
              <w:lang w:eastAsia="en-IN"/>
            </w:rPr>
          </w:pPr>
          <w:hyperlink w:anchor="_Toc197375885" w:history="1">
            <w:r w:rsidRPr="00874538">
              <w:rPr>
                <w:rStyle w:val="Hyperlink"/>
                <w:rFonts w:ascii="Calibri" w:hAnsi="Calibri" w:cs="Calibri"/>
                <w:noProof/>
              </w:rPr>
              <w:t>Critical Variables in Credit Card Analytics Modelling</w:t>
            </w:r>
            <w:r>
              <w:rPr>
                <w:noProof/>
                <w:webHidden/>
              </w:rPr>
              <w:tab/>
            </w:r>
            <w:r>
              <w:rPr>
                <w:noProof/>
                <w:webHidden/>
              </w:rPr>
              <w:fldChar w:fldCharType="begin"/>
            </w:r>
            <w:r>
              <w:rPr>
                <w:noProof/>
                <w:webHidden/>
              </w:rPr>
              <w:instrText xml:space="preserve"> PAGEREF _Toc197375885 \h </w:instrText>
            </w:r>
            <w:r>
              <w:rPr>
                <w:noProof/>
                <w:webHidden/>
              </w:rPr>
            </w:r>
            <w:r>
              <w:rPr>
                <w:noProof/>
                <w:webHidden/>
              </w:rPr>
              <w:fldChar w:fldCharType="separate"/>
            </w:r>
            <w:r>
              <w:rPr>
                <w:noProof/>
                <w:webHidden/>
              </w:rPr>
              <w:t>7</w:t>
            </w:r>
            <w:r>
              <w:rPr>
                <w:noProof/>
                <w:webHidden/>
              </w:rPr>
              <w:fldChar w:fldCharType="end"/>
            </w:r>
          </w:hyperlink>
        </w:p>
        <w:p w14:paraId="32426264" w14:textId="2FD232A2" w:rsidR="00F10ED2" w:rsidRDefault="00F10ED2">
          <w:pPr>
            <w:pStyle w:val="TOC1"/>
            <w:tabs>
              <w:tab w:val="right" w:leader="dot" w:pos="9016"/>
            </w:tabs>
            <w:rPr>
              <w:rFonts w:eastAsiaTheme="minorEastAsia"/>
              <w:noProof/>
              <w:lang w:eastAsia="en-IN"/>
            </w:rPr>
          </w:pPr>
          <w:hyperlink w:anchor="_Toc197375886" w:history="1">
            <w:r w:rsidRPr="00874538">
              <w:rPr>
                <w:rStyle w:val="Hyperlink"/>
                <w:rFonts w:ascii="Calibri" w:hAnsi="Calibri" w:cs="Calibri"/>
                <w:noProof/>
              </w:rPr>
              <w:t>Exploratory Data Analysis &amp; Visualisation</w:t>
            </w:r>
            <w:r>
              <w:rPr>
                <w:noProof/>
                <w:webHidden/>
              </w:rPr>
              <w:tab/>
            </w:r>
            <w:r>
              <w:rPr>
                <w:noProof/>
                <w:webHidden/>
              </w:rPr>
              <w:fldChar w:fldCharType="begin"/>
            </w:r>
            <w:r>
              <w:rPr>
                <w:noProof/>
                <w:webHidden/>
              </w:rPr>
              <w:instrText xml:space="preserve"> PAGEREF _Toc197375886 \h </w:instrText>
            </w:r>
            <w:r>
              <w:rPr>
                <w:noProof/>
                <w:webHidden/>
              </w:rPr>
            </w:r>
            <w:r>
              <w:rPr>
                <w:noProof/>
                <w:webHidden/>
              </w:rPr>
              <w:fldChar w:fldCharType="separate"/>
            </w:r>
            <w:r>
              <w:rPr>
                <w:noProof/>
                <w:webHidden/>
              </w:rPr>
              <w:t>8</w:t>
            </w:r>
            <w:r>
              <w:rPr>
                <w:noProof/>
                <w:webHidden/>
              </w:rPr>
              <w:fldChar w:fldCharType="end"/>
            </w:r>
          </w:hyperlink>
        </w:p>
        <w:p w14:paraId="37C56049" w14:textId="5C045B5C" w:rsidR="00F10ED2" w:rsidRDefault="00F10ED2">
          <w:pPr>
            <w:pStyle w:val="TOC1"/>
            <w:tabs>
              <w:tab w:val="right" w:leader="dot" w:pos="9016"/>
            </w:tabs>
            <w:rPr>
              <w:rFonts w:eastAsiaTheme="minorEastAsia"/>
              <w:noProof/>
              <w:lang w:eastAsia="en-IN"/>
            </w:rPr>
          </w:pPr>
          <w:hyperlink w:anchor="_Toc197375887" w:history="1">
            <w:r w:rsidRPr="00874538">
              <w:rPr>
                <w:rStyle w:val="Hyperlink"/>
                <w:rFonts w:ascii="Calibri" w:hAnsi="Calibri" w:cs="Calibri"/>
                <w:noProof/>
              </w:rPr>
              <w:t>Hypotheses and Model Justification</w:t>
            </w:r>
            <w:r>
              <w:rPr>
                <w:noProof/>
                <w:webHidden/>
              </w:rPr>
              <w:tab/>
            </w:r>
            <w:r>
              <w:rPr>
                <w:noProof/>
                <w:webHidden/>
              </w:rPr>
              <w:fldChar w:fldCharType="begin"/>
            </w:r>
            <w:r>
              <w:rPr>
                <w:noProof/>
                <w:webHidden/>
              </w:rPr>
              <w:instrText xml:space="preserve"> PAGEREF _Toc197375887 \h </w:instrText>
            </w:r>
            <w:r>
              <w:rPr>
                <w:noProof/>
                <w:webHidden/>
              </w:rPr>
            </w:r>
            <w:r>
              <w:rPr>
                <w:noProof/>
                <w:webHidden/>
              </w:rPr>
              <w:fldChar w:fldCharType="separate"/>
            </w:r>
            <w:r>
              <w:rPr>
                <w:noProof/>
                <w:webHidden/>
              </w:rPr>
              <w:t>14</w:t>
            </w:r>
            <w:r>
              <w:rPr>
                <w:noProof/>
                <w:webHidden/>
              </w:rPr>
              <w:fldChar w:fldCharType="end"/>
            </w:r>
          </w:hyperlink>
        </w:p>
        <w:p w14:paraId="2A0BA5B7" w14:textId="5C748C51" w:rsidR="00F10ED2" w:rsidRDefault="00F10ED2">
          <w:pPr>
            <w:pStyle w:val="TOC2"/>
            <w:tabs>
              <w:tab w:val="right" w:leader="dot" w:pos="9016"/>
            </w:tabs>
            <w:rPr>
              <w:rFonts w:eastAsiaTheme="minorEastAsia"/>
              <w:noProof/>
              <w:lang w:eastAsia="en-IN"/>
            </w:rPr>
          </w:pPr>
          <w:hyperlink w:anchor="_Toc197375888" w:history="1">
            <w:r w:rsidRPr="00874538">
              <w:rPr>
                <w:rStyle w:val="Hyperlink"/>
                <w:rFonts w:ascii="Calibri" w:hAnsi="Calibri" w:cs="Calibri"/>
                <w:noProof/>
              </w:rPr>
              <w:t>1 | Linear Spend Model (OLS)</w:t>
            </w:r>
            <w:r>
              <w:rPr>
                <w:noProof/>
                <w:webHidden/>
              </w:rPr>
              <w:tab/>
            </w:r>
            <w:r>
              <w:rPr>
                <w:noProof/>
                <w:webHidden/>
              </w:rPr>
              <w:fldChar w:fldCharType="begin"/>
            </w:r>
            <w:r>
              <w:rPr>
                <w:noProof/>
                <w:webHidden/>
              </w:rPr>
              <w:instrText xml:space="preserve"> PAGEREF _Toc197375888 \h </w:instrText>
            </w:r>
            <w:r>
              <w:rPr>
                <w:noProof/>
                <w:webHidden/>
              </w:rPr>
            </w:r>
            <w:r>
              <w:rPr>
                <w:noProof/>
                <w:webHidden/>
              </w:rPr>
              <w:fldChar w:fldCharType="separate"/>
            </w:r>
            <w:r>
              <w:rPr>
                <w:noProof/>
                <w:webHidden/>
              </w:rPr>
              <w:t>14</w:t>
            </w:r>
            <w:r>
              <w:rPr>
                <w:noProof/>
                <w:webHidden/>
              </w:rPr>
              <w:fldChar w:fldCharType="end"/>
            </w:r>
          </w:hyperlink>
        </w:p>
        <w:p w14:paraId="1BE1251D" w14:textId="305EB6AC" w:rsidR="00F10ED2" w:rsidRDefault="00F10ED2">
          <w:pPr>
            <w:pStyle w:val="TOC2"/>
            <w:tabs>
              <w:tab w:val="right" w:leader="dot" w:pos="9016"/>
            </w:tabs>
            <w:rPr>
              <w:rFonts w:eastAsiaTheme="minorEastAsia"/>
              <w:noProof/>
              <w:lang w:eastAsia="en-IN"/>
            </w:rPr>
          </w:pPr>
          <w:hyperlink w:anchor="_Toc197375889" w:history="1">
            <w:r w:rsidRPr="00874538">
              <w:rPr>
                <w:rStyle w:val="Hyperlink"/>
                <w:rFonts w:ascii="Calibri" w:hAnsi="Calibri" w:cs="Calibri"/>
                <w:noProof/>
              </w:rPr>
              <w:t>2 | Interactive Logistic Model</w:t>
            </w:r>
            <w:r>
              <w:rPr>
                <w:noProof/>
                <w:webHidden/>
              </w:rPr>
              <w:tab/>
            </w:r>
            <w:r>
              <w:rPr>
                <w:noProof/>
                <w:webHidden/>
              </w:rPr>
              <w:fldChar w:fldCharType="begin"/>
            </w:r>
            <w:r>
              <w:rPr>
                <w:noProof/>
                <w:webHidden/>
              </w:rPr>
              <w:instrText xml:space="preserve"> PAGEREF _Toc197375889 \h </w:instrText>
            </w:r>
            <w:r>
              <w:rPr>
                <w:noProof/>
                <w:webHidden/>
              </w:rPr>
            </w:r>
            <w:r>
              <w:rPr>
                <w:noProof/>
                <w:webHidden/>
              </w:rPr>
              <w:fldChar w:fldCharType="separate"/>
            </w:r>
            <w:r>
              <w:rPr>
                <w:noProof/>
                <w:webHidden/>
              </w:rPr>
              <w:t>14</w:t>
            </w:r>
            <w:r>
              <w:rPr>
                <w:noProof/>
                <w:webHidden/>
              </w:rPr>
              <w:fldChar w:fldCharType="end"/>
            </w:r>
          </w:hyperlink>
        </w:p>
        <w:p w14:paraId="275995E4" w14:textId="0B9D0308" w:rsidR="00F10ED2" w:rsidRDefault="00F10ED2">
          <w:pPr>
            <w:pStyle w:val="TOC2"/>
            <w:tabs>
              <w:tab w:val="right" w:leader="dot" w:pos="9016"/>
            </w:tabs>
            <w:rPr>
              <w:rFonts w:eastAsiaTheme="minorEastAsia"/>
              <w:noProof/>
              <w:lang w:eastAsia="en-IN"/>
            </w:rPr>
          </w:pPr>
          <w:hyperlink w:anchor="_Toc197375890" w:history="1">
            <w:r w:rsidRPr="00874538">
              <w:rPr>
                <w:rStyle w:val="Hyperlink"/>
                <w:rFonts w:ascii="Calibri" w:hAnsi="Calibri" w:cs="Calibri"/>
                <w:noProof/>
              </w:rPr>
              <w:t>3 | Random Forest Classifier</w:t>
            </w:r>
            <w:r>
              <w:rPr>
                <w:noProof/>
                <w:webHidden/>
              </w:rPr>
              <w:tab/>
            </w:r>
            <w:r>
              <w:rPr>
                <w:noProof/>
                <w:webHidden/>
              </w:rPr>
              <w:fldChar w:fldCharType="begin"/>
            </w:r>
            <w:r>
              <w:rPr>
                <w:noProof/>
                <w:webHidden/>
              </w:rPr>
              <w:instrText xml:space="preserve"> PAGEREF _Toc197375890 \h </w:instrText>
            </w:r>
            <w:r>
              <w:rPr>
                <w:noProof/>
                <w:webHidden/>
              </w:rPr>
            </w:r>
            <w:r>
              <w:rPr>
                <w:noProof/>
                <w:webHidden/>
              </w:rPr>
              <w:fldChar w:fldCharType="separate"/>
            </w:r>
            <w:r>
              <w:rPr>
                <w:noProof/>
                <w:webHidden/>
              </w:rPr>
              <w:t>14</w:t>
            </w:r>
            <w:r>
              <w:rPr>
                <w:noProof/>
                <w:webHidden/>
              </w:rPr>
              <w:fldChar w:fldCharType="end"/>
            </w:r>
          </w:hyperlink>
        </w:p>
        <w:p w14:paraId="32D802D4" w14:textId="325D7BB3" w:rsidR="00F10ED2" w:rsidRDefault="00F10ED2">
          <w:pPr>
            <w:pStyle w:val="TOC1"/>
            <w:tabs>
              <w:tab w:val="right" w:leader="dot" w:pos="9016"/>
            </w:tabs>
            <w:rPr>
              <w:rFonts w:eastAsiaTheme="minorEastAsia"/>
              <w:noProof/>
              <w:lang w:eastAsia="en-IN"/>
            </w:rPr>
          </w:pPr>
          <w:hyperlink w:anchor="_Toc197375891" w:history="1">
            <w:r w:rsidRPr="00874538">
              <w:rPr>
                <w:rStyle w:val="Hyperlink"/>
                <w:rFonts w:ascii="Calibri" w:hAnsi="Calibri" w:cs="Calibri"/>
                <w:noProof/>
              </w:rPr>
              <w:t>Statistical modelling and interpretation</w:t>
            </w:r>
            <w:r>
              <w:rPr>
                <w:noProof/>
                <w:webHidden/>
              </w:rPr>
              <w:tab/>
            </w:r>
            <w:r>
              <w:rPr>
                <w:noProof/>
                <w:webHidden/>
              </w:rPr>
              <w:fldChar w:fldCharType="begin"/>
            </w:r>
            <w:r>
              <w:rPr>
                <w:noProof/>
                <w:webHidden/>
              </w:rPr>
              <w:instrText xml:space="preserve"> PAGEREF _Toc197375891 \h </w:instrText>
            </w:r>
            <w:r>
              <w:rPr>
                <w:noProof/>
                <w:webHidden/>
              </w:rPr>
            </w:r>
            <w:r>
              <w:rPr>
                <w:noProof/>
                <w:webHidden/>
              </w:rPr>
              <w:fldChar w:fldCharType="separate"/>
            </w:r>
            <w:r>
              <w:rPr>
                <w:noProof/>
                <w:webHidden/>
              </w:rPr>
              <w:t>15</w:t>
            </w:r>
            <w:r>
              <w:rPr>
                <w:noProof/>
                <w:webHidden/>
              </w:rPr>
              <w:fldChar w:fldCharType="end"/>
            </w:r>
          </w:hyperlink>
        </w:p>
        <w:p w14:paraId="23F13EEE" w14:textId="4ABADD81" w:rsidR="00F10ED2" w:rsidRDefault="00F10ED2">
          <w:pPr>
            <w:pStyle w:val="TOC2"/>
            <w:tabs>
              <w:tab w:val="right" w:leader="dot" w:pos="9016"/>
            </w:tabs>
            <w:rPr>
              <w:rFonts w:eastAsiaTheme="minorEastAsia"/>
              <w:noProof/>
              <w:lang w:eastAsia="en-IN"/>
            </w:rPr>
          </w:pPr>
          <w:hyperlink w:anchor="_Toc197375892" w:history="1">
            <w:r w:rsidRPr="00874538">
              <w:rPr>
                <w:rStyle w:val="Hyperlink"/>
                <w:rFonts w:ascii="Calibri" w:hAnsi="Calibri" w:cs="Calibri"/>
                <w:noProof/>
              </w:rPr>
              <w:t>Model A: Linear Spend Analysis</w:t>
            </w:r>
            <w:r>
              <w:rPr>
                <w:noProof/>
                <w:webHidden/>
              </w:rPr>
              <w:tab/>
            </w:r>
            <w:r>
              <w:rPr>
                <w:noProof/>
                <w:webHidden/>
              </w:rPr>
              <w:fldChar w:fldCharType="begin"/>
            </w:r>
            <w:r>
              <w:rPr>
                <w:noProof/>
                <w:webHidden/>
              </w:rPr>
              <w:instrText xml:space="preserve"> PAGEREF _Toc197375892 \h </w:instrText>
            </w:r>
            <w:r>
              <w:rPr>
                <w:noProof/>
                <w:webHidden/>
              </w:rPr>
            </w:r>
            <w:r>
              <w:rPr>
                <w:noProof/>
                <w:webHidden/>
              </w:rPr>
              <w:fldChar w:fldCharType="separate"/>
            </w:r>
            <w:r>
              <w:rPr>
                <w:noProof/>
                <w:webHidden/>
              </w:rPr>
              <w:t>15</w:t>
            </w:r>
            <w:r>
              <w:rPr>
                <w:noProof/>
                <w:webHidden/>
              </w:rPr>
              <w:fldChar w:fldCharType="end"/>
            </w:r>
          </w:hyperlink>
        </w:p>
        <w:p w14:paraId="790807F9" w14:textId="543B86CC" w:rsidR="00F10ED2" w:rsidRDefault="00F10ED2">
          <w:pPr>
            <w:pStyle w:val="TOC2"/>
            <w:tabs>
              <w:tab w:val="right" w:leader="dot" w:pos="9016"/>
            </w:tabs>
            <w:rPr>
              <w:rFonts w:eastAsiaTheme="minorEastAsia"/>
              <w:noProof/>
              <w:lang w:eastAsia="en-IN"/>
            </w:rPr>
          </w:pPr>
          <w:hyperlink w:anchor="_Toc197375893" w:history="1">
            <w:r w:rsidRPr="00874538">
              <w:rPr>
                <w:rStyle w:val="Hyperlink"/>
                <w:rFonts w:ascii="Calibri" w:hAnsi="Calibri" w:cs="Calibri"/>
                <w:noProof/>
              </w:rPr>
              <w:t>Model B: Credit Line-Usage Interaction and Customer Attrition</w:t>
            </w:r>
            <w:r>
              <w:rPr>
                <w:noProof/>
                <w:webHidden/>
              </w:rPr>
              <w:tab/>
            </w:r>
            <w:r>
              <w:rPr>
                <w:noProof/>
                <w:webHidden/>
              </w:rPr>
              <w:fldChar w:fldCharType="begin"/>
            </w:r>
            <w:r>
              <w:rPr>
                <w:noProof/>
                <w:webHidden/>
              </w:rPr>
              <w:instrText xml:space="preserve"> PAGEREF _Toc197375893 \h </w:instrText>
            </w:r>
            <w:r>
              <w:rPr>
                <w:noProof/>
                <w:webHidden/>
              </w:rPr>
            </w:r>
            <w:r>
              <w:rPr>
                <w:noProof/>
                <w:webHidden/>
              </w:rPr>
              <w:fldChar w:fldCharType="separate"/>
            </w:r>
            <w:r>
              <w:rPr>
                <w:noProof/>
                <w:webHidden/>
              </w:rPr>
              <w:t>17</w:t>
            </w:r>
            <w:r>
              <w:rPr>
                <w:noProof/>
                <w:webHidden/>
              </w:rPr>
              <w:fldChar w:fldCharType="end"/>
            </w:r>
          </w:hyperlink>
        </w:p>
        <w:p w14:paraId="4426E1A7" w14:textId="3864B696" w:rsidR="00F10ED2" w:rsidRDefault="00F10ED2">
          <w:pPr>
            <w:pStyle w:val="TOC2"/>
            <w:tabs>
              <w:tab w:val="right" w:leader="dot" w:pos="9016"/>
            </w:tabs>
            <w:rPr>
              <w:rFonts w:eastAsiaTheme="minorEastAsia"/>
              <w:noProof/>
              <w:lang w:eastAsia="en-IN"/>
            </w:rPr>
          </w:pPr>
          <w:hyperlink w:anchor="_Toc197375894" w:history="1">
            <w:r w:rsidRPr="00874538">
              <w:rPr>
                <w:rStyle w:val="Hyperlink"/>
                <w:rFonts w:ascii="Calibri" w:hAnsi="Calibri" w:cs="Calibri"/>
                <w:noProof/>
              </w:rPr>
              <w:t>Model C: Random Forest for Early Churn Detection</w:t>
            </w:r>
            <w:r>
              <w:rPr>
                <w:noProof/>
                <w:webHidden/>
              </w:rPr>
              <w:tab/>
            </w:r>
            <w:r>
              <w:rPr>
                <w:noProof/>
                <w:webHidden/>
              </w:rPr>
              <w:fldChar w:fldCharType="begin"/>
            </w:r>
            <w:r>
              <w:rPr>
                <w:noProof/>
                <w:webHidden/>
              </w:rPr>
              <w:instrText xml:space="preserve"> PAGEREF _Toc197375894 \h </w:instrText>
            </w:r>
            <w:r>
              <w:rPr>
                <w:noProof/>
                <w:webHidden/>
              </w:rPr>
            </w:r>
            <w:r>
              <w:rPr>
                <w:noProof/>
                <w:webHidden/>
              </w:rPr>
              <w:fldChar w:fldCharType="separate"/>
            </w:r>
            <w:r>
              <w:rPr>
                <w:noProof/>
                <w:webHidden/>
              </w:rPr>
              <w:t>18</w:t>
            </w:r>
            <w:r>
              <w:rPr>
                <w:noProof/>
                <w:webHidden/>
              </w:rPr>
              <w:fldChar w:fldCharType="end"/>
            </w:r>
          </w:hyperlink>
        </w:p>
        <w:p w14:paraId="22ABA9CC" w14:textId="74B5AC2D" w:rsidR="00F10ED2" w:rsidRDefault="00F10ED2">
          <w:pPr>
            <w:pStyle w:val="TOC2"/>
            <w:tabs>
              <w:tab w:val="right" w:leader="dot" w:pos="9016"/>
            </w:tabs>
            <w:rPr>
              <w:rFonts w:eastAsiaTheme="minorEastAsia"/>
              <w:noProof/>
              <w:lang w:eastAsia="en-IN"/>
            </w:rPr>
          </w:pPr>
          <w:hyperlink w:anchor="_Toc197375895" w:history="1">
            <w:r w:rsidRPr="00874538">
              <w:rPr>
                <w:rStyle w:val="Hyperlink"/>
                <w:rFonts w:ascii="Calibri" w:hAnsi="Calibri" w:cs="Calibri"/>
                <w:noProof/>
              </w:rPr>
              <w:t>Model Integration &amp; Critical Review</w:t>
            </w:r>
            <w:r>
              <w:rPr>
                <w:noProof/>
                <w:webHidden/>
              </w:rPr>
              <w:tab/>
            </w:r>
            <w:r>
              <w:rPr>
                <w:noProof/>
                <w:webHidden/>
              </w:rPr>
              <w:fldChar w:fldCharType="begin"/>
            </w:r>
            <w:r>
              <w:rPr>
                <w:noProof/>
                <w:webHidden/>
              </w:rPr>
              <w:instrText xml:space="preserve"> PAGEREF _Toc197375895 \h </w:instrText>
            </w:r>
            <w:r>
              <w:rPr>
                <w:noProof/>
                <w:webHidden/>
              </w:rPr>
            </w:r>
            <w:r>
              <w:rPr>
                <w:noProof/>
                <w:webHidden/>
              </w:rPr>
              <w:fldChar w:fldCharType="separate"/>
            </w:r>
            <w:r>
              <w:rPr>
                <w:noProof/>
                <w:webHidden/>
              </w:rPr>
              <w:t>20</w:t>
            </w:r>
            <w:r>
              <w:rPr>
                <w:noProof/>
                <w:webHidden/>
              </w:rPr>
              <w:fldChar w:fldCharType="end"/>
            </w:r>
          </w:hyperlink>
        </w:p>
        <w:p w14:paraId="2E9DC0B1" w14:textId="0E35B96D" w:rsidR="00F10ED2" w:rsidRDefault="00F10ED2">
          <w:pPr>
            <w:pStyle w:val="TOC1"/>
            <w:tabs>
              <w:tab w:val="right" w:leader="dot" w:pos="9016"/>
            </w:tabs>
            <w:rPr>
              <w:rFonts w:eastAsiaTheme="minorEastAsia"/>
              <w:noProof/>
              <w:lang w:eastAsia="en-IN"/>
            </w:rPr>
          </w:pPr>
          <w:hyperlink w:anchor="_Toc197375896" w:history="1">
            <w:r w:rsidRPr="00874538">
              <w:rPr>
                <w:rStyle w:val="Hyperlink"/>
                <w:rFonts w:ascii="Calibri" w:hAnsi="Calibri" w:cs="Calibri"/>
                <w:noProof/>
              </w:rPr>
              <w:t>Strategic Recommendations &amp; Implementation Plan</w:t>
            </w:r>
            <w:r>
              <w:rPr>
                <w:noProof/>
                <w:webHidden/>
              </w:rPr>
              <w:tab/>
            </w:r>
            <w:r>
              <w:rPr>
                <w:noProof/>
                <w:webHidden/>
              </w:rPr>
              <w:fldChar w:fldCharType="begin"/>
            </w:r>
            <w:r>
              <w:rPr>
                <w:noProof/>
                <w:webHidden/>
              </w:rPr>
              <w:instrText xml:space="preserve"> PAGEREF _Toc197375896 \h </w:instrText>
            </w:r>
            <w:r>
              <w:rPr>
                <w:noProof/>
                <w:webHidden/>
              </w:rPr>
            </w:r>
            <w:r>
              <w:rPr>
                <w:noProof/>
                <w:webHidden/>
              </w:rPr>
              <w:fldChar w:fldCharType="separate"/>
            </w:r>
            <w:r>
              <w:rPr>
                <w:noProof/>
                <w:webHidden/>
              </w:rPr>
              <w:t>20</w:t>
            </w:r>
            <w:r>
              <w:rPr>
                <w:noProof/>
                <w:webHidden/>
              </w:rPr>
              <w:fldChar w:fldCharType="end"/>
            </w:r>
          </w:hyperlink>
        </w:p>
        <w:p w14:paraId="74F60803" w14:textId="13AD9B4B" w:rsidR="00F10ED2" w:rsidRDefault="00F10ED2">
          <w:pPr>
            <w:pStyle w:val="TOC2"/>
            <w:tabs>
              <w:tab w:val="right" w:leader="dot" w:pos="9016"/>
            </w:tabs>
            <w:rPr>
              <w:rFonts w:eastAsiaTheme="minorEastAsia"/>
              <w:noProof/>
              <w:lang w:eastAsia="en-IN"/>
            </w:rPr>
          </w:pPr>
          <w:hyperlink w:anchor="_Toc197375897" w:history="1">
            <w:r w:rsidRPr="00874538">
              <w:rPr>
                <w:rStyle w:val="Hyperlink"/>
                <w:rFonts w:ascii="Calibri" w:hAnsi="Calibri" w:cs="Calibri"/>
                <w:noProof/>
              </w:rPr>
              <w:t>Precision Credit Policy</w:t>
            </w:r>
            <w:r>
              <w:rPr>
                <w:noProof/>
                <w:webHidden/>
              </w:rPr>
              <w:tab/>
            </w:r>
            <w:r>
              <w:rPr>
                <w:noProof/>
                <w:webHidden/>
              </w:rPr>
              <w:fldChar w:fldCharType="begin"/>
            </w:r>
            <w:r>
              <w:rPr>
                <w:noProof/>
                <w:webHidden/>
              </w:rPr>
              <w:instrText xml:space="preserve"> PAGEREF _Toc197375897 \h </w:instrText>
            </w:r>
            <w:r>
              <w:rPr>
                <w:noProof/>
                <w:webHidden/>
              </w:rPr>
            </w:r>
            <w:r>
              <w:rPr>
                <w:noProof/>
                <w:webHidden/>
              </w:rPr>
              <w:fldChar w:fldCharType="separate"/>
            </w:r>
            <w:r>
              <w:rPr>
                <w:noProof/>
                <w:webHidden/>
              </w:rPr>
              <w:t>20</w:t>
            </w:r>
            <w:r>
              <w:rPr>
                <w:noProof/>
                <w:webHidden/>
              </w:rPr>
              <w:fldChar w:fldCharType="end"/>
            </w:r>
          </w:hyperlink>
        </w:p>
        <w:p w14:paraId="1D9E4065" w14:textId="48074993" w:rsidR="00F10ED2" w:rsidRDefault="00F10ED2">
          <w:pPr>
            <w:pStyle w:val="TOC2"/>
            <w:tabs>
              <w:tab w:val="right" w:leader="dot" w:pos="9016"/>
            </w:tabs>
            <w:rPr>
              <w:rFonts w:eastAsiaTheme="minorEastAsia"/>
              <w:noProof/>
              <w:lang w:eastAsia="en-IN"/>
            </w:rPr>
          </w:pPr>
          <w:hyperlink w:anchor="_Toc197375898" w:history="1">
            <w:r w:rsidRPr="00874538">
              <w:rPr>
                <w:rStyle w:val="Hyperlink"/>
                <w:rFonts w:ascii="Calibri" w:hAnsi="Calibri" w:cs="Calibri"/>
                <w:noProof/>
              </w:rPr>
              <w:t>Early Disengagement Intervention</w:t>
            </w:r>
            <w:r>
              <w:rPr>
                <w:noProof/>
                <w:webHidden/>
              </w:rPr>
              <w:tab/>
            </w:r>
            <w:r>
              <w:rPr>
                <w:noProof/>
                <w:webHidden/>
              </w:rPr>
              <w:fldChar w:fldCharType="begin"/>
            </w:r>
            <w:r>
              <w:rPr>
                <w:noProof/>
                <w:webHidden/>
              </w:rPr>
              <w:instrText xml:space="preserve"> PAGEREF _Toc197375898 \h </w:instrText>
            </w:r>
            <w:r>
              <w:rPr>
                <w:noProof/>
                <w:webHidden/>
              </w:rPr>
            </w:r>
            <w:r>
              <w:rPr>
                <w:noProof/>
                <w:webHidden/>
              </w:rPr>
              <w:fldChar w:fldCharType="separate"/>
            </w:r>
            <w:r>
              <w:rPr>
                <w:noProof/>
                <w:webHidden/>
              </w:rPr>
              <w:t>21</w:t>
            </w:r>
            <w:r>
              <w:rPr>
                <w:noProof/>
                <w:webHidden/>
              </w:rPr>
              <w:fldChar w:fldCharType="end"/>
            </w:r>
          </w:hyperlink>
        </w:p>
        <w:p w14:paraId="5B192C58" w14:textId="55CDA9C8" w:rsidR="00F10ED2" w:rsidRDefault="00F10ED2">
          <w:pPr>
            <w:pStyle w:val="TOC2"/>
            <w:tabs>
              <w:tab w:val="right" w:leader="dot" w:pos="9016"/>
            </w:tabs>
            <w:rPr>
              <w:rFonts w:eastAsiaTheme="minorEastAsia"/>
              <w:noProof/>
              <w:lang w:eastAsia="en-IN"/>
            </w:rPr>
          </w:pPr>
          <w:hyperlink w:anchor="_Toc197375899" w:history="1">
            <w:r w:rsidRPr="00874538">
              <w:rPr>
                <w:rStyle w:val="Hyperlink"/>
                <w:rFonts w:ascii="Calibri" w:hAnsi="Calibri" w:cs="Calibri"/>
                <w:noProof/>
              </w:rPr>
              <w:t>Premium Segment Retention</w:t>
            </w:r>
            <w:r>
              <w:rPr>
                <w:noProof/>
                <w:webHidden/>
              </w:rPr>
              <w:tab/>
            </w:r>
            <w:r>
              <w:rPr>
                <w:noProof/>
                <w:webHidden/>
              </w:rPr>
              <w:fldChar w:fldCharType="begin"/>
            </w:r>
            <w:r>
              <w:rPr>
                <w:noProof/>
                <w:webHidden/>
              </w:rPr>
              <w:instrText xml:space="preserve"> PAGEREF _Toc197375899 \h </w:instrText>
            </w:r>
            <w:r>
              <w:rPr>
                <w:noProof/>
                <w:webHidden/>
              </w:rPr>
            </w:r>
            <w:r>
              <w:rPr>
                <w:noProof/>
                <w:webHidden/>
              </w:rPr>
              <w:fldChar w:fldCharType="separate"/>
            </w:r>
            <w:r>
              <w:rPr>
                <w:noProof/>
                <w:webHidden/>
              </w:rPr>
              <w:t>21</w:t>
            </w:r>
            <w:r>
              <w:rPr>
                <w:noProof/>
                <w:webHidden/>
              </w:rPr>
              <w:fldChar w:fldCharType="end"/>
            </w:r>
          </w:hyperlink>
        </w:p>
        <w:p w14:paraId="6FC71B03" w14:textId="26B086A4" w:rsidR="00F10ED2" w:rsidRDefault="00F10ED2">
          <w:pPr>
            <w:pStyle w:val="TOC2"/>
            <w:tabs>
              <w:tab w:val="right" w:leader="dot" w:pos="9016"/>
            </w:tabs>
            <w:rPr>
              <w:rFonts w:eastAsiaTheme="minorEastAsia"/>
              <w:noProof/>
              <w:lang w:eastAsia="en-IN"/>
            </w:rPr>
          </w:pPr>
          <w:hyperlink w:anchor="_Toc197375900" w:history="1">
            <w:r w:rsidRPr="00874538">
              <w:rPr>
                <w:rStyle w:val="Hyperlink"/>
                <w:rFonts w:ascii="Calibri" w:hAnsi="Calibri" w:cs="Calibri"/>
                <w:noProof/>
              </w:rPr>
              <w:t>Gender-Optimized Outreach</w:t>
            </w:r>
            <w:r>
              <w:rPr>
                <w:noProof/>
                <w:webHidden/>
              </w:rPr>
              <w:tab/>
            </w:r>
            <w:r>
              <w:rPr>
                <w:noProof/>
                <w:webHidden/>
              </w:rPr>
              <w:fldChar w:fldCharType="begin"/>
            </w:r>
            <w:r>
              <w:rPr>
                <w:noProof/>
                <w:webHidden/>
              </w:rPr>
              <w:instrText xml:space="preserve"> PAGEREF _Toc197375900 \h </w:instrText>
            </w:r>
            <w:r>
              <w:rPr>
                <w:noProof/>
                <w:webHidden/>
              </w:rPr>
            </w:r>
            <w:r>
              <w:rPr>
                <w:noProof/>
                <w:webHidden/>
              </w:rPr>
              <w:fldChar w:fldCharType="separate"/>
            </w:r>
            <w:r>
              <w:rPr>
                <w:noProof/>
                <w:webHidden/>
              </w:rPr>
              <w:t>21</w:t>
            </w:r>
            <w:r>
              <w:rPr>
                <w:noProof/>
                <w:webHidden/>
              </w:rPr>
              <w:fldChar w:fldCharType="end"/>
            </w:r>
          </w:hyperlink>
        </w:p>
        <w:p w14:paraId="44642346" w14:textId="4BA76211" w:rsidR="00F10ED2" w:rsidRDefault="00F10ED2">
          <w:pPr>
            <w:pStyle w:val="TOC2"/>
            <w:tabs>
              <w:tab w:val="right" w:leader="dot" w:pos="9016"/>
            </w:tabs>
            <w:rPr>
              <w:rFonts w:eastAsiaTheme="minorEastAsia"/>
              <w:noProof/>
              <w:lang w:eastAsia="en-IN"/>
            </w:rPr>
          </w:pPr>
          <w:hyperlink w:anchor="_Toc197375901" w:history="1">
            <w:r w:rsidRPr="00874538">
              <w:rPr>
                <w:rStyle w:val="Hyperlink"/>
                <w:rFonts w:ascii="Calibri" w:hAnsi="Calibri" w:cs="Calibri"/>
                <w:noProof/>
              </w:rPr>
              <w:t>Implementation Framework</w:t>
            </w:r>
            <w:r>
              <w:rPr>
                <w:noProof/>
                <w:webHidden/>
              </w:rPr>
              <w:tab/>
            </w:r>
            <w:r>
              <w:rPr>
                <w:noProof/>
                <w:webHidden/>
              </w:rPr>
              <w:fldChar w:fldCharType="begin"/>
            </w:r>
            <w:r>
              <w:rPr>
                <w:noProof/>
                <w:webHidden/>
              </w:rPr>
              <w:instrText xml:space="preserve"> PAGEREF _Toc197375901 \h </w:instrText>
            </w:r>
            <w:r>
              <w:rPr>
                <w:noProof/>
                <w:webHidden/>
              </w:rPr>
            </w:r>
            <w:r>
              <w:rPr>
                <w:noProof/>
                <w:webHidden/>
              </w:rPr>
              <w:fldChar w:fldCharType="separate"/>
            </w:r>
            <w:r>
              <w:rPr>
                <w:noProof/>
                <w:webHidden/>
              </w:rPr>
              <w:t>21</w:t>
            </w:r>
            <w:r>
              <w:rPr>
                <w:noProof/>
                <w:webHidden/>
              </w:rPr>
              <w:fldChar w:fldCharType="end"/>
            </w:r>
          </w:hyperlink>
        </w:p>
        <w:p w14:paraId="50A9FE88" w14:textId="628482F9" w:rsidR="00F10ED2" w:rsidRDefault="00F10ED2">
          <w:pPr>
            <w:pStyle w:val="TOC1"/>
            <w:tabs>
              <w:tab w:val="right" w:leader="dot" w:pos="9016"/>
            </w:tabs>
            <w:rPr>
              <w:rFonts w:eastAsiaTheme="minorEastAsia"/>
              <w:noProof/>
              <w:lang w:eastAsia="en-IN"/>
            </w:rPr>
          </w:pPr>
          <w:hyperlink w:anchor="_Toc197375902" w:history="1">
            <w:r w:rsidRPr="00874538">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_Toc197375902 \h </w:instrText>
            </w:r>
            <w:r>
              <w:rPr>
                <w:noProof/>
                <w:webHidden/>
              </w:rPr>
            </w:r>
            <w:r>
              <w:rPr>
                <w:noProof/>
                <w:webHidden/>
              </w:rPr>
              <w:fldChar w:fldCharType="separate"/>
            </w:r>
            <w:r>
              <w:rPr>
                <w:noProof/>
                <w:webHidden/>
              </w:rPr>
              <w:t>22</w:t>
            </w:r>
            <w:r>
              <w:rPr>
                <w:noProof/>
                <w:webHidden/>
              </w:rPr>
              <w:fldChar w:fldCharType="end"/>
            </w:r>
          </w:hyperlink>
        </w:p>
        <w:p w14:paraId="249699E6" w14:textId="60394DC7" w:rsidR="00F10ED2" w:rsidRDefault="00F10ED2">
          <w:pPr>
            <w:pStyle w:val="TOC1"/>
            <w:tabs>
              <w:tab w:val="right" w:leader="dot" w:pos="9016"/>
            </w:tabs>
            <w:rPr>
              <w:rFonts w:eastAsiaTheme="minorEastAsia"/>
              <w:noProof/>
              <w:lang w:eastAsia="en-IN"/>
            </w:rPr>
          </w:pPr>
          <w:hyperlink w:anchor="_Toc197375903" w:history="1">
            <w:r w:rsidRPr="00874538">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_Toc197375903 \h </w:instrText>
            </w:r>
            <w:r>
              <w:rPr>
                <w:noProof/>
                <w:webHidden/>
              </w:rPr>
            </w:r>
            <w:r>
              <w:rPr>
                <w:noProof/>
                <w:webHidden/>
              </w:rPr>
              <w:fldChar w:fldCharType="separate"/>
            </w:r>
            <w:r>
              <w:rPr>
                <w:noProof/>
                <w:webHidden/>
              </w:rPr>
              <w:t>22</w:t>
            </w:r>
            <w:r>
              <w:rPr>
                <w:noProof/>
                <w:webHidden/>
              </w:rPr>
              <w:fldChar w:fldCharType="end"/>
            </w:r>
          </w:hyperlink>
        </w:p>
        <w:p w14:paraId="409AD503" w14:textId="3AE173B6" w:rsidR="00F10ED2" w:rsidRDefault="00F10ED2">
          <w:pPr>
            <w:pStyle w:val="TOC1"/>
            <w:tabs>
              <w:tab w:val="right" w:leader="dot" w:pos="9016"/>
            </w:tabs>
            <w:rPr>
              <w:rFonts w:eastAsiaTheme="minorEastAsia"/>
              <w:noProof/>
              <w:lang w:eastAsia="en-IN"/>
            </w:rPr>
          </w:pPr>
          <w:hyperlink w:anchor="_Toc197375904" w:history="1">
            <w:r w:rsidRPr="00874538">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_Toc197375904 \h </w:instrText>
            </w:r>
            <w:r>
              <w:rPr>
                <w:noProof/>
                <w:webHidden/>
              </w:rPr>
            </w:r>
            <w:r>
              <w:rPr>
                <w:noProof/>
                <w:webHidden/>
              </w:rPr>
              <w:fldChar w:fldCharType="separate"/>
            </w:r>
            <w:r>
              <w:rPr>
                <w:noProof/>
                <w:webHidden/>
              </w:rPr>
              <w:t>24</w:t>
            </w:r>
            <w:r>
              <w:rPr>
                <w:noProof/>
                <w:webHidden/>
              </w:rPr>
              <w:fldChar w:fldCharType="end"/>
            </w:r>
          </w:hyperlink>
        </w:p>
        <w:p w14:paraId="3B9A95B4" w14:textId="0EEAA05F" w:rsidR="00610048" w:rsidRPr="00405021" w:rsidRDefault="00610048">
          <w:pPr>
            <w:rPr>
              <w:rFonts w:ascii="Calibri" w:hAnsi="Calibri" w:cs="Calibri"/>
            </w:rPr>
          </w:pPr>
          <w:r w:rsidRPr="00405021">
            <w:rPr>
              <w:rFonts w:ascii="Calibri" w:hAnsi="Calibri" w:cs="Calibri"/>
              <w:noProof/>
            </w:rPr>
            <w:fldChar w:fldCharType="end"/>
          </w:r>
        </w:p>
      </w:sdtContent>
    </w:sdt>
    <w:p w14:paraId="0D7FD5D2" w14:textId="1C294BE0" w:rsidR="00610048" w:rsidRPr="00405021" w:rsidRDefault="00610048">
      <w:pPr>
        <w:pStyle w:val="TableofFigures"/>
        <w:tabs>
          <w:tab w:val="right" w:leader="dot" w:pos="9016"/>
        </w:tabs>
        <w:rPr>
          <w:rFonts w:ascii="Calibri" w:hAnsi="Calibri" w:cs="Calibri"/>
          <w:noProof/>
        </w:rPr>
      </w:pPr>
      <w:r w:rsidRPr="00405021">
        <w:rPr>
          <w:rFonts w:ascii="Calibri" w:eastAsia="Times New Roman" w:hAnsi="Calibri" w:cs="Calibri"/>
          <w:kern w:val="0"/>
          <w:lang w:eastAsia="en-IN"/>
          <w14:ligatures w14:val="none"/>
        </w:rPr>
        <w:fldChar w:fldCharType="begin"/>
      </w:r>
      <w:r w:rsidRPr="00405021">
        <w:rPr>
          <w:rFonts w:ascii="Calibri" w:eastAsia="Times New Roman" w:hAnsi="Calibri" w:cs="Calibri"/>
          <w:kern w:val="0"/>
          <w:lang w:eastAsia="en-IN"/>
          <w14:ligatures w14:val="none"/>
        </w:rPr>
        <w:instrText xml:space="preserve"> TOC \h \z \c "Table" </w:instrText>
      </w:r>
      <w:r w:rsidRPr="00405021">
        <w:rPr>
          <w:rFonts w:ascii="Calibri" w:eastAsia="Times New Roman" w:hAnsi="Calibri" w:cs="Calibri"/>
          <w:kern w:val="0"/>
          <w:lang w:eastAsia="en-IN"/>
          <w14:ligatures w14:val="none"/>
        </w:rPr>
        <w:fldChar w:fldCharType="separate"/>
      </w:r>
      <w:hyperlink w:anchor="_Toc197353904" w:history="1">
        <w:r w:rsidRPr="00405021">
          <w:rPr>
            <w:rStyle w:val="Hyperlink"/>
            <w:rFonts w:ascii="Calibri" w:hAnsi="Calibri" w:cs="Calibri"/>
            <w:noProof/>
          </w:rPr>
          <w:t>Table 1: Data dictionary for the credit card customer dataset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_Toc197353904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7</w:t>
        </w:r>
        <w:r w:rsidRPr="00405021">
          <w:rPr>
            <w:rFonts w:ascii="Calibri" w:hAnsi="Calibri" w:cs="Calibri"/>
            <w:noProof/>
            <w:webHidden/>
          </w:rPr>
          <w:fldChar w:fldCharType="end"/>
        </w:r>
      </w:hyperlink>
    </w:p>
    <w:p w14:paraId="7C3A85F1" w14:textId="6B4E80C8" w:rsidR="00610048" w:rsidRPr="00405021" w:rsidRDefault="00610048">
      <w:pPr>
        <w:pStyle w:val="TableofFigures"/>
        <w:tabs>
          <w:tab w:val="right" w:leader="dot" w:pos="9016"/>
        </w:tabs>
        <w:rPr>
          <w:rFonts w:ascii="Calibri" w:hAnsi="Calibri" w:cs="Calibri"/>
          <w:noProof/>
        </w:rPr>
      </w:pPr>
      <w:hyperlink w:anchor="_Toc197353905" w:history="1">
        <w:r w:rsidRPr="00405021">
          <w:rPr>
            <w:rStyle w:val="Hyperlink"/>
            <w:rFonts w:ascii="Calibri" w:hAnsi="Calibri" w:cs="Calibri"/>
            <w:noProof/>
          </w:rPr>
          <w:t>Table 2: Descriptive statistics for key continuous variables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_Toc197353905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8</w:t>
        </w:r>
        <w:r w:rsidRPr="00405021">
          <w:rPr>
            <w:rFonts w:ascii="Calibri" w:hAnsi="Calibri" w:cs="Calibri"/>
            <w:noProof/>
            <w:webHidden/>
          </w:rPr>
          <w:fldChar w:fldCharType="end"/>
        </w:r>
      </w:hyperlink>
    </w:p>
    <w:p w14:paraId="6C3178A4" w14:textId="0D32BEE6" w:rsidR="00610048" w:rsidRPr="00405021" w:rsidRDefault="00610048">
      <w:pPr>
        <w:pStyle w:val="TableofFigures"/>
        <w:tabs>
          <w:tab w:val="right" w:leader="dot" w:pos="9016"/>
        </w:tabs>
        <w:rPr>
          <w:rFonts w:ascii="Calibri" w:hAnsi="Calibri" w:cs="Calibri"/>
          <w:noProof/>
        </w:rPr>
      </w:pPr>
      <w:hyperlink w:anchor="_Toc197353906" w:history="1">
        <w:r w:rsidRPr="00405021">
          <w:rPr>
            <w:rStyle w:val="Hyperlink"/>
            <w:rFonts w:ascii="Calibri" w:hAnsi="Calibri" w:cs="Calibri"/>
            <w:noProof/>
          </w:rPr>
          <w:t>Table 3: Linear Regression Results for Annual Spend(Source: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_Toc197353906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16</w:t>
        </w:r>
        <w:r w:rsidRPr="00405021">
          <w:rPr>
            <w:rFonts w:ascii="Calibri" w:hAnsi="Calibri" w:cs="Calibri"/>
            <w:noProof/>
            <w:webHidden/>
          </w:rPr>
          <w:fldChar w:fldCharType="end"/>
        </w:r>
      </w:hyperlink>
    </w:p>
    <w:p w14:paraId="40EE22CA" w14:textId="134213F7" w:rsidR="00610048" w:rsidRPr="00405021" w:rsidRDefault="00610048">
      <w:pPr>
        <w:pStyle w:val="TableofFigures"/>
        <w:tabs>
          <w:tab w:val="right" w:leader="dot" w:pos="9016"/>
        </w:tabs>
        <w:rPr>
          <w:rFonts w:ascii="Calibri" w:hAnsi="Calibri" w:cs="Calibri"/>
          <w:noProof/>
        </w:rPr>
      </w:pPr>
      <w:hyperlink w:anchor="_Toc197353907" w:history="1">
        <w:r w:rsidRPr="00405021">
          <w:rPr>
            <w:rStyle w:val="Hyperlink"/>
            <w:rFonts w:ascii="Calibri" w:hAnsi="Calibri" w:cs="Calibri"/>
            <w:noProof/>
          </w:rPr>
          <w:t>Table 4: Logistic Regression Results(Source: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_Toc197353907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18</w:t>
        </w:r>
        <w:r w:rsidRPr="00405021">
          <w:rPr>
            <w:rFonts w:ascii="Calibri" w:hAnsi="Calibri" w:cs="Calibri"/>
            <w:noProof/>
            <w:webHidden/>
          </w:rPr>
          <w:fldChar w:fldCharType="end"/>
        </w:r>
      </w:hyperlink>
    </w:p>
    <w:p w14:paraId="0AB978ED" w14:textId="73750F0F" w:rsidR="00610048" w:rsidRPr="00405021" w:rsidRDefault="00610048">
      <w:pPr>
        <w:pStyle w:val="TableofFigures"/>
        <w:tabs>
          <w:tab w:val="right" w:leader="dot" w:pos="9016"/>
        </w:tabs>
        <w:rPr>
          <w:rFonts w:ascii="Calibri" w:hAnsi="Calibri" w:cs="Calibri"/>
          <w:noProof/>
        </w:rPr>
      </w:pPr>
      <w:hyperlink w:anchor="_Toc197353908" w:history="1">
        <w:r w:rsidRPr="00405021">
          <w:rPr>
            <w:rStyle w:val="Hyperlink"/>
            <w:rFonts w:ascii="Calibri" w:hAnsi="Calibri" w:cs="Calibri"/>
            <w:noProof/>
          </w:rPr>
          <w:t>Table 5: Randon Forest Classification Results(Source: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_Toc197353908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19</w:t>
        </w:r>
        <w:r w:rsidRPr="00405021">
          <w:rPr>
            <w:rFonts w:ascii="Calibri" w:hAnsi="Calibri" w:cs="Calibri"/>
            <w:noProof/>
            <w:webHidden/>
          </w:rPr>
          <w:fldChar w:fldCharType="end"/>
        </w:r>
      </w:hyperlink>
    </w:p>
    <w:p w14:paraId="1A978BCF" w14:textId="77777777" w:rsidR="00610048" w:rsidRPr="00405021" w:rsidRDefault="00610048" w:rsidP="00DC33B3">
      <w:pPr>
        <w:spacing w:after="0" w:line="240" w:lineRule="auto"/>
        <w:rPr>
          <w:rFonts w:ascii="Calibri" w:hAnsi="Calibri" w:cs="Calibri"/>
          <w:noProof/>
        </w:rPr>
      </w:pPr>
      <w:r w:rsidRPr="00405021">
        <w:rPr>
          <w:rFonts w:ascii="Calibri" w:eastAsia="Times New Roman" w:hAnsi="Calibri" w:cs="Calibri"/>
          <w:kern w:val="0"/>
          <w:lang w:eastAsia="en-IN"/>
          <w14:ligatures w14:val="none"/>
        </w:rPr>
        <w:fldChar w:fldCharType="end"/>
      </w:r>
      <w:r w:rsidRPr="00405021">
        <w:rPr>
          <w:rFonts w:ascii="Calibri" w:eastAsia="Times New Roman" w:hAnsi="Calibri" w:cs="Calibri"/>
          <w:kern w:val="0"/>
          <w:lang w:eastAsia="en-IN"/>
          <w14:ligatures w14:val="none"/>
        </w:rPr>
        <w:fldChar w:fldCharType="begin"/>
      </w:r>
      <w:r w:rsidRPr="00405021">
        <w:rPr>
          <w:rFonts w:ascii="Calibri" w:eastAsia="Times New Roman" w:hAnsi="Calibri" w:cs="Calibri"/>
          <w:kern w:val="0"/>
          <w:lang w:eastAsia="en-IN"/>
          <w14:ligatures w14:val="none"/>
        </w:rPr>
        <w:instrText xml:space="preserve"> TOC \h \z \c "Figure" </w:instrText>
      </w:r>
      <w:r w:rsidRPr="00405021">
        <w:rPr>
          <w:rFonts w:ascii="Calibri" w:eastAsia="Times New Roman" w:hAnsi="Calibri" w:cs="Calibri"/>
          <w:kern w:val="0"/>
          <w:lang w:eastAsia="en-IN"/>
          <w14:ligatures w14:val="none"/>
        </w:rPr>
        <w:fldChar w:fldCharType="separate"/>
      </w:r>
    </w:p>
    <w:p w14:paraId="42DB3979" w14:textId="742B6343"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2" w:history="1">
        <w:r w:rsidRPr="00405021">
          <w:rPr>
            <w:rStyle w:val="Hyperlink"/>
            <w:rFonts w:ascii="Calibri" w:hAnsi="Calibri" w:cs="Calibri"/>
            <w:noProof/>
          </w:rPr>
          <w:t>Figure 1: Customer Age Histogram(Source: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_Toc197353912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9</w:t>
        </w:r>
        <w:r w:rsidRPr="00405021">
          <w:rPr>
            <w:rFonts w:ascii="Calibri" w:hAnsi="Calibri" w:cs="Calibri"/>
            <w:noProof/>
            <w:webHidden/>
          </w:rPr>
          <w:fldChar w:fldCharType="end"/>
        </w:r>
      </w:hyperlink>
    </w:p>
    <w:p w14:paraId="6F38B66A" w14:textId="7604E731"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3" w:history="1">
        <w:r w:rsidRPr="00405021">
          <w:rPr>
            <w:rStyle w:val="Hyperlink"/>
            <w:rFonts w:ascii="Calibri" w:hAnsi="Calibri" w:cs="Calibri"/>
            <w:noProof/>
          </w:rPr>
          <w:t>Figure 2: Credit Limit Distribution(Source: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_Toc197353913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9</w:t>
        </w:r>
        <w:r w:rsidRPr="00405021">
          <w:rPr>
            <w:rFonts w:ascii="Calibri" w:hAnsi="Calibri" w:cs="Calibri"/>
            <w:noProof/>
            <w:webHidden/>
          </w:rPr>
          <w:fldChar w:fldCharType="end"/>
        </w:r>
      </w:hyperlink>
    </w:p>
    <w:p w14:paraId="6DBAEA14" w14:textId="18162CD7"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4" w:history="1">
        <w:r w:rsidRPr="00405021">
          <w:rPr>
            <w:rStyle w:val="Hyperlink"/>
            <w:rFonts w:ascii="Calibri" w:hAnsi="Calibri" w:cs="Calibri"/>
            <w:noProof/>
          </w:rPr>
          <w:t>Figure 3: Utilisation by Attrition Status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_Toc197353914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10</w:t>
        </w:r>
        <w:r w:rsidRPr="00405021">
          <w:rPr>
            <w:rFonts w:ascii="Calibri" w:hAnsi="Calibri" w:cs="Calibri"/>
            <w:noProof/>
            <w:webHidden/>
          </w:rPr>
          <w:fldChar w:fldCharType="end"/>
        </w:r>
      </w:hyperlink>
    </w:p>
    <w:p w14:paraId="36B2FEEC" w14:textId="4229A611"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5" w:history="1">
        <w:r w:rsidRPr="00405021">
          <w:rPr>
            <w:rStyle w:val="Hyperlink"/>
            <w:rFonts w:ascii="Calibri" w:hAnsi="Calibri" w:cs="Calibri"/>
            <w:noProof/>
          </w:rPr>
          <w:t>Figure 4: Transaction Count Distribution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_Toc197353915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10</w:t>
        </w:r>
        <w:r w:rsidRPr="00405021">
          <w:rPr>
            <w:rFonts w:ascii="Calibri" w:hAnsi="Calibri" w:cs="Calibri"/>
            <w:noProof/>
            <w:webHidden/>
          </w:rPr>
          <w:fldChar w:fldCharType="end"/>
        </w:r>
      </w:hyperlink>
    </w:p>
    <w:p w14:paraId="0BEA6EBE" w14:textId="45752A57"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6" w:history="1">
        <w:r w:rsidRPr="00405021">
          <w:rPr>
            <w:rStyle w:val="Hyperlink"/>
            <w:rFonts w:ascii="Calibri" w:hAnsi="Calibri" w:cs="Calibri"/>
            <w:noProof/>
          </w:rPr>
          <w:t>Figure 5: Annual Spend by Attrition Status(Source: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_Toc197353916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11</w:t>
        </w:r>
        <w:r w:rsidRPr="00405021">
          <w:rPr>
            <w:rFonts w:ascii="Calibri" w:hAnsi="Calibri" w:cs="Calibri"/>
            <w:noProof/>
            <w:webHidden/>
          </w:rPr>
          <w:fldChar w:fldCharType="end"/>
        </w:r>
      </w:hyperlink>
    </w:p>
    <w:p w14:paraId="3BA71BAE" w14:textId="2A4B772F"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7" w:history="1">
        <w:r w:rsidRPr="00405021">
          <w:rPr>
            <w:rStyle w:val="Hyperlink"/>
            <w:rFonts w:ascii="Calibri" w:hAnsi="Calibri" w:cs="Calibri"/>
            <w:noProof/>
          </w:rPr>
          <w:t>Figure 6: Correlation Heat Map(Source: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_Toc197353917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12</w:t>
        </w:r>
        <w:r w:rsidRPr="00405021">
          <w:rPr>
            <w:rFonts w:ascii="Calibri" w:hAnsi="Calibri" w:cs="Calibri"/>
            <w:noProof/>
            <w:webHidden/>
          </w:rPr>
          <w:fldChar w:fldCharType="end"/>
        </w:r>
      </w:hyperlink>
    </w:p>
    <w:p w14:paraId="14DDC5F2" w14:textId="15F93840"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8" w:history="1">
        <w:r w:rsidRPr="00405021">
          <w:rPr>
            <w:rStyle w:val="Hyperlink"/>
            <w:rFonts w:ascii="Calibri" w:hAnsi="Calibri" w:cs="Calibri"/>
            <w:noProof/>
          </w:rPr>
          <w:t>Figure 7: Attrition by Card Category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_Toc197353918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12</w:t>
        </w:r>
        <w:r w:rsidRPr="00405021">
          <w:rPr>
            <w:rFonts w:ascii="Calibri" w:hAnsi="Calibri" w:cs="Calibri"/>
            <w:noProof/>
            <w:webHidden/>
          </w:rPr>
          <w:fldChar w:fldCharType="end"/>
        </w:r>
      </w:hyperlink>
    </w:p>
    <w:p w14:paraId="1AFF7F53" w14:textId="48342BE3"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19" w:history="1">
        <w:r w:rsidRPr="00405021">
          <w:rPr>
            <w:rStyle w:val="Hyperlink"/>
            <w:rFonts w:ascii="Calibri" w:hAnsi="Calibri" w:cs="Calibri"/>
            <w:noProof/>
          </w:rPr>
          <w:t>Figure 8: Attrition Rate by Income Category(Source: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_Toc197353919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13</w:t>
        </w:r>
        <w:r w:rsidRPr="00405021">
          <w:rPr>
            <w:rFonts w:ascii="Calibri" w:hAnsi="Calibri" w:cs="Calibri"/>
            <w:noProof/>
            <w:webHidden/>
          </w:rPr>
          <w:fldChar w:fldCharType="end"/>
        </w:r>
      </w:hyperlink>
    </w:p>
    <w:p w14:paraId="56C465A6" w14:textId="3CCD2838"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20" w:history="1">
        <w:r w:rsidRPr="00405021">
          <w:rPr>
            <w:rStyle w:val="Hyperlink"/>
            <w:rFonts w:ascii="Calibri" w:hAnsi="Calibri" w:cs="Calibri"/>
            <w:noProof/>
          </w:rPr>
          <w:t>Figure 9:OLS diagnostic panel (residuals vs fitted, QQ, scale location, leverage)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_Toc197353920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16</w:t>
        </w:r>
        <w:r w:rsidRPr="00405021">
          <w:rPr>
            <w:rFonts w:ascii="Calibri" w:hAnsi="Calibri" w:cs="Calibri"/>
            <w:noProof/>
            <w:webHidden/>
          </w:rPr>
          <w:fldChar w:fldCharType="end"/>
        </w:r>
      </w:hyperlink>
    </w:p>
    <w:p w14:paraId="477C6A9E" w14:textId="2522E4AB"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21" w:history="1">
        <w:r w:rsidRPr="00405021">
          <w:rPr>
            <w:rStyle w:val="Hyperlink"/>
            <w:rFonts w:ascii="Calibri" w:hAnsi="Calibri" w:cs="Calibri"/>
            <w:noProof/>
          </w:rPr>
          <w:t>Figure 10: Actual vs Predicted spend scatter(Source: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_Toc197353921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17</w:t>
        </w:r>
        <w:r w:rsidRPr="00405021">
          <w:rPr>
            <w:rFonts w:ascii="Calibri" w:hAnsi="Calibri" w:cs="Calibri"/>
            <w:noProof/>
            <w:webHidden/>
          </w:rPr>
          <w:fldChar w:fldCharType="end"/>
        </w:r>
      </w:hyperlink>
    </w:p>
    <w:p w14:paraId="0B131D06" w14:textId="34818C0D"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22" w:history="1">
        <w:r w:rsidRPr="00405021">
          <w:rPr>
            <w:rStyle w:val="Hyperlink"/>
            <w:rFonts w:ascii="Calibri" w:hAnsi="Calibri" w:cs="Calibri"/>
            <w:noProof/>
          </w:rPr>
          <w:t>Figure 11: Interaction Effect: Credit</w:t>
        </w:r>
        <w:r w:rsidRPr="00405021">
          <w:rPr>
            <w:rStyle w:val="Hyperlink"/>
            <w:rFonts w:ascii="Cambria Math" w:hAnsi="Cambria Math" w:cs="Cambria Math"/>
            <w:noProof/>
          </w:rPr>
          <w:t>‑</w:t>
        </w:r>
        <w:r w:rsidRPr="00405021">
          <w:rPr>
            <w:rStyle w:val="Hyperlink"/>
            <w:rFonts w:ascii="Calibri" w:hAnsi="Calibri" w:cs="Calibri"/>
            <w:noProof/>
          </w:rPr>
          <w:t>Limit × Utilisation on Attrition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_Toc197353922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18</w:t>
        </w:r>
        <w:r w:rsidRPr="00405021">
          <w:rPr>
            <w:rFonts w:ascii="Calibri" w:hAnsi="Calibri" w:cs="Calibri"/>
            <w:noProof/>
            <w:webHidden/>
          </w:rPr>
          <w:fldChar w:fldCharType="end"/>
        </w:r>
      </w:hyperlink>
    </w:p>
    <w:p w14:paraId="774D18B0" w14:textId="6FF23B1E"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23" w:history="1">
        <w:r w:rsidRPr="00405021">
          <w:rPr>
            <w:rStyle w:val="Hyperlink"/>
            <w:rFonts w:ascii="Calibri" w:hAnsi="Calibri" w:cs="Calibri"/>
            <w:noProof/>
          </w:rPr>
          <w:t>Figure 12: Decision Tree (Source: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_Toc197353923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19</w:t>
        </w:r>
        <w:r w:rsidRPr="00405021">
          <w:rPr>
            <w:rFonts w:ascii="Calibri" w:hAnsi="Calibri" w:cs="Calibri"/>
            <w:noProof/>
            <w:webHidden/>
          </w:rPr>
          <w:fldChar w:fldCharType="end"/>
        </w:r>
      </w:hyperlink>
    </w:p>
    <w:p w14:paraId="63B909E7" w14:textId="4605AFA6" w:rsidR="00610048" w:rsidRPr="00405021" w:rsidRDefault="00610048">
      <w:pPr>
        <w:pStyle w:val="TableofFigures"/>
        <w:tabs>
          <w:tab w:val="right" w:leader="dot" w:pos="9016"/>
        </w:tabs>
        <w:rPr>
          <w:rFonts w:ascii="Calibri" w:eastAsiaTheme="minorEastAsia" w:hAnsi="Calibri" w:cs="Calibri"/>
          <w:noProof/>
          <w:lang w:eastAsia="en-IN"/>
        </w:rPr>
      </w:pPr>
      <w:hyperlink w:anchor="_Toc197353924" w:history="1">
        <w:r w:rsidRPr="00405021">
          <w:rPr>
            <w:rStyle w:val="Hyperlink"/>
            <w:rFonts w:ascii="Calibri" w:hAnsi="Calibri" w:cs="Calibri"/>
            <w:noProof/>
          </w:rPr>
          <w:t>Figure 13: ROC Curve Comparison(Source: Author)</w:t>
        </w:r>
        <w:r w:rsidRPr="00405021">
          <w:rPr>
            <w:rFonts w:ascii="Calibri" w:hAnsi="Calibri" w:cs="Calibri"/>
            <w:noProof/>
            <w:webHidden/>
          </w:rPr>
          <w:tab/>
        </w:r>
        <w:r w:rsidRPr="00405021">
          <w:rPr>
            <w:rFonts w:ascii="Calibri" w:hAnsi="Calibri" w:cs="Calibri"/>
            <w:noProof/>
            <w:webHidden/>
          </w:rPr>
          <w:fldChar w:fldCharType="begin"/>
        </w:r>
        <w:r w:rsidRPr="00405021">
          <w:rPr>
            <w:rFonts w:ascii="Calibri" w:hAnsi="Calibri" w:cs="Calibri"/>
            <w:noProof/>
            <w:webHidden/>
          </w:rPr>
          <w:instrText xml:space="preserve"> PAGEREF _Toc197353924 \h </w:instrText>
        </w:r>
        <w:r w:rsidRPr="00405021">
          <w:rPr>
            <w:rFonts w:ascii="Calibri" w:hAnsi="Calibri" w:cs="Calibri"/>
            <w:noProof/>
            <w:webHidden/>
          </w:rPr>
        </w:r>
        <w:r w:rsidRPr="00405021">
          <w:rPr>
            <w:rFonts w:ascii="Calibri" w:hAnsi="Calibri" w:cs="Calibri"/>
            <w:noProof/>
            <w:webHidden/>
          </w:rPr>
          <w:fldChar w:fldCharType="separate"/>
        </w:r>
        <w:r w:rsidR="003926A5">
          <w:rPr>
            <w:rFonts w:ascii="Calibri" w:hAnsi="Calibri" w:cs="Calibri"/>
            <w:noProof/>
            <w:webHidden/>
          </w:rPr>
          <w:t>20</w:t>
        </w:r>
        <w:r w:rsidRPr="00405021">
          <w:rPr>
            <w:rFonts w:ascii="Calibri" w:hAnsi="Calibri" w:cs="Calibri"/>
            <w:noProof/>
            <w:webHidden/>
          </w:rPr>
          <w:fldChar w:fldCharType="end"/>
        </w:r>
      </w:hyperlink>
    </w:p>
    <w:p w14:paraId="6B433815" w14:textId="0F3FB88C" w:rsidR="002C4CF3" w:rsidRPr="00405021" w:rsidRDefault="00610048" w:rsidP="00DC33B3">
      <w:pPr>
        <w:spacing w:after="0" w:line="240" w:lineRule="auto"/>
        <w:rPr>
          <w:rFonts w:ascii="Calibri" w:eastAsia="Times New Roman" w:hAnsi="Calibri" w:cs="Calibri"/>
          <w:kern w:val="0"/>
          <w:lang w:eastAsia="en-IN"/>
          <w14:ligatures w14:val="none"/>
        </w:rPr>
      </w:pPr>
      <w:r w:rsidRPr="00405021">
        <w:rPr>
          <w:rFonts w:ascii="Calibri" w:eastAsia="Times New Roman" w:hAnsi="Calibri" w:cs="Calibri"/>
          <w:kern w:val="0"/>
          <w:lang w:eastAsia="en-IN"/>
          <w14:ligatures w14:val="none"/>
        </w:rPr>
        <w:fldChar w:fldCharType="end"/>
      </w:r>
    </w:p>
    <w:p w14:paraId="25644F14"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FC2972C"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847AC2C"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1F8DB74"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7577496"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2A71CB03"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3435D18"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79EF71C6"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8071BA7"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4DACE17E"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37CCFE8D"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7FC96586"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4D1078C1"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59FEEC8"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9B2AED2"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ADF0895"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9E18D41"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26F9D0F4"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4035627"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2B44F2AA"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152C214E"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24BACA6"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DB97123"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55D8B028"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4E1DFA4E"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4F85A9F3"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E207AE0"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C88A02C"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6EEEED6A"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3002302F"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3D865FBF"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5B177EEB"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77114F2"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2FB08C28" w14:textId="77777777" w:rsidR="00610048" w:rsidRPr="00405021" w:rsidRDefault="00610048" w:rsidP="00DC33B3">
      <w:pPr>
        <w:spacing w:after="0" w:line="240" w:lineRule="auto"/>
        <w:rPr>
          <w:rFonts w:ascii="Calibri" w:eastAsia="Times New Roman" w:hAnsi="Calibri" w:cs="Calibri"/>
          <w:kern w:val="0"/>
          <w:lang w:eastAsia="en-IN"/>
          <w14:ligatures w14:val="none"/>
        </w:rPr>
      </w:pPr>
    </w:p>
    <w:p w14:paraId="076FDDA9" w14:textId="4D89320B" w:rsidR="00B52DB7" w:rsidRPr="00405021" w:rsidRDefault="00B52DB7" w:rsidP="00B003A3">
      <w:pPr>
        <w:pStyle w:val="Heading1"/>
        <w:rPr>
          <w:rFonts w:ascii="Calibri" w:hAnsi="Calibri" w:cs="Calibri"/>
        </w:rPr>
      </w:pPr>
      <w:bookmarkStart w:id="1" w:name="_Toc197375884"/>
      <w:r w:rsidRPr="00405021">
        <w:rPr>
          <w:rFonts w:ascii="Calibri" w:hAnsi="Calibri" w:cs="Calibri"/>
        </w:rPr>
        <w:t>Introduction</w:t>
      </w:r>
      <w:bookmarkEnd w:id="1"/>
    </w:p>
    <w:p w14:paraId="699751F7" w14:textId="1C5F6E0C" w:rsidR="00B52DB7" w:rsidRPr="00405021" w:rsidRDefault="00B52DB7" w:rsidP="00B52DB7">
      <w:pPr>
        <w:pStyle w:val="NormalWeb"/>
        <w:rPr>
          <w:rFonts w:ascii="Calibri" w:hAnsi="Calibri" w:cs="Calibri"/>
        </w:rPr>
      </w:pPr>
      <w:r w:rsidRPr="00405021">
        <w:rPr>
          <w:rFonts w:ascii="Calibri" w:hAnsi="Calibri" w:cs="Calibri"/>
        </w:rPr>
        <w:t xml:space="preserve">Credit cards represent a dual asset for universal banks: a </w:t>
      </w:r>
      <w:r w:rsidRPr="00405021">
        <w:rPr>
          <w:rStyle w:val="Strong"/>
          <w:rFonts w:ascii="Calibri" w:eastAsiaTheme="majorEastAsia" w:hAnsi="Calibri" w:cs="Calibri"/>
          <w:b w:val="0"/>
          <w:bCs w:val="0"/>
        </w:rPr>
        <w:t>profit powerhouse</w:t>
      </w:r>
      <w:r w:rsidRPr="00405021">
        <w:rPr>
          <w:rFonts w:ascii="Calibri" w:hAnsi="Calibri" w:cs="Calibri"/>
        </w:rPr>
        <w:t xml:space="preserve"> combining multiple revenue streams and a </w:t>
      </w:r>
      <w:r w:rsidRPr="00405021">
        <w:rPr>
          <w:rStyle w:val="Strong"/>
          <w:rFonts w:ascii="Calibri" w:eastAsiaTheme="majorEastAsia" w:hAnsi="Calibri" w:cs="Calibri"/>
          <w:b w:val="0"/>
          <w:bCs w:val="0"/>
        </w:rPr>
        <w:t>data goldmine</w:t>
      </w:r>
      <w:r w:rsidRPr="00405021">
        <w:rPr>
          <w:rFonts w:ascii="Calibri" w:hAnsi="Calibri" w:cs="Calibri"/>
        </w:rPr>
        <w:t xml:space="preserve"> documenting consumer purchasing behavior in granular detail</w:t>
      </w:r>
      <w:sdt>
        <w:sdtPr>
          <w:rPr>
            <w:rFonts w:ascii="Calibri" w:hAnsi="Calibri" w:cs="Calibri"/>
          </w:rPr>
          <w:id w:val="1891459198"/>
          <w:citation/>
        </w:sdtPr>
        <w:sdtEndPr/>
        <w:sdtContent>
          <w:r w:rsidR="005D674C" w:rsidRPr="00405021">
            <w:rPr>
              <w:rFonts w:ascii="Calibri" w:hAnsi="Calibri" w:cs="Calibri"/>
            </w:rPr>
            <w:fldChar w:fldCharType="begin"/>
          </w:r>
          <w:r w:rsidR="005D674C" w:rsidRPr="00405021">
            <w:rPr>
              <w:rFonts w:ascii="Calibri" w:hAnsi="Calibri" w:cs="Calibri"/>
            </w:rPr>
            <w:instrText xml:space="preserve"> CITATION BCG22 \l 16393 </w:instrText>
          </w:r>
          <w:r w:rsidR="005D674C" w:rsidRPr="00405021">
            <w:rPr>
              <w:rFonts w:ascii="Calibri" w:hAnsi="Calibri" w:cs="Calibri"/>
            </w:rPr>
            <w:fldChar w:fldCharType="separate"/>
          </w:r>
          <w:r w:rsidR="00405021" w:rsidRPr="00405021">
            <w:rPr>
              <w:rFonts w:ascii="Calibri" w:hAnsi="Calibri" w:cs="Calibri"/>
              <w:noProof/>
            </w:rPr>
            <w:t xml:space="preserve"> (BCG, 2022)</w:t>
          </w:r>
          <w:r w:rsidR="005D674C" w:rsidRPr="00405021">
            <w:rPr>
              <w:rFonts w:ascii="Calibri" w:hAnsi="Calibri" w:cs="Calibri"/>
            </w:rPr>
            <w:fldChar w:fldCharType="end"/>
          </w:r>
        </w:sdtContent>
      </w:sdt>
      <w:r w:rsidRPr="00405021">
        <w:rPr>
          <w:rFonts w:ascii="Calibri" w:hAnsi="Calibri" w:cs="Calibri"/>
        </w:rPr>
        <w:t>. Today's market faces intensifying challenges from fintech disruptors offering "zero-fee" cards and major retailers developing closed-loop payment systems that divert transactions</w:t>
      </w:r>
      <w:r w:rsidR="003B6E31" w:rsidRPr="00405021">
        <w:rPr>
          <w:rFonts w:ascii="Calibri" w:hAnsi="Calibri" w:cs="Calibri"/>
        </w:rPr>
        <w:t xml:space="preserve"> </w:t>
      </w:r>
      <w:sdt>
        <w:sdtPr>
          <w:rPr>
            <w:rFonts w:ascii="Calibri" w:hAnsi="Calibri" w:cs="Calibri"/>
          </w:rPr>
          <w:id w:val="1717236858"/>
          <w:citation/>
        </w:sdtPr>
        <w:sdtEndPr/>
        <w:sdtContent>
          <w:r w:rsidR="003B6E31" w:rsidRPr="00405021">
            <w:rPr>
              <w:rFonts w:ascii="Calibri" w:hAnsi="Calibri" w:cs="Calibri"/>
            </w:rPr>
            <w:fldChar w:fldCharType="begin"/>
          </w:r>
          <w:r w:rsidR="003B6E31" w:rsidRPr="00405021">
            <w:rPr>
              <w:rFonts w:ascii="Calibri" w:hAnsi="Calibri" w:cs="Calibri"/>
            </w:rPr>
            <w:instrText xml:space="preserve"> CITATION Del25 \l 16393 </w:instrText>
          </w:r>
          <w:r w:rsidR="003B6E31" w:rsidRPr="00405021">
            <w:rPr>
              <w:rFonts w:ascii="Calibri" w:hAnsi="Calibri" w:cs="Calibri"/>
            </w:rPr>
            <w:fldChar w:fldCharType="separate"/>
          </w:r>
          <w:r w:rsidR="00405021" w:rsidRPr="00405021">
            <w:rPr>
              <w:rFonts w:ascii="Calibri" w:hAnsi="Calibri" w:cs="Calibri"/>
              <w:noProof/>
            </w:rPr>
            <w:t>(Deloitte, 2025)</w:t>
          </w:r>
          <w:r w:rsidR="003B6E31" w:rsidRPr="00405021">
            <w:rPr>
              <w:rFonts w:ascii="Calibri" w:hAnsi="Calibri" w:cs="Calibri"/>
            </w:rPr>
            <w:fldChar w:fldCharType="end"/>
          </w:r>
        </w:sdtContent>
      </w:sdt>
      <w:r w:rsidRPr="00405021">
        <w:rPr>
          <w:rFonts w:ascii="Calibri" w:hAnsi="Calibri" w:cs="Calibri"/>
        </w:rPr>
        <w:t>. Competitive advantage increasingly depends on superior utilization of first-party data.</w:t>
      </w:r>
    </w:p>
    <w:p w14:paraId="6D306C0F" w14:textId="4643E623" w:rsidR="00B52DB7" w:rsidRPr="00405021" w:rsidRDefault="00B52DB7" w:rsidP="00B52DB7">
      <w:pPr>
        <w:pStyle w:val="NormalWeb"/>
        <w:rPr>
          <w:rFonts w:ascii="Calibri" w:hAnsi="Calibri" w:cs="Calibri"/>
        </w:rPr>
      </w:pPr>
      <w:r w:rsidRPr="00405021">
        <w:rPr>
          <w:rFonts w:ascii="Calibri" w:hAnsi="Calibri" w:cs="Calibri"/>
        </w:rPr>
        <w:t>The</w:t>
      </w:r>
      <w:r w:rsidRPr="00405021">
        <w:rPr>
          <w:rStyle w:val="Strong"/>
          <w:rFonts w:ascii="Calibri" w:eastAsiaTheme="majorEastAsia" w:hAnsi="Calibri" w:cs="Calibri"/>
          <w:b w:val="0"/>
          <w:bCs w:val="0"/>
        </w:rPr>
        <w:t xml:space="preserve"> Credit-Card Portfolio</w:t>
      </w:r>
      <w:r w:rsidRPr="00405021">
        <w:rPr>
          <w:rFonts w:ascii="Calibri" w:hAnsi="Calibri" w:cs="Calibri"/>
        </w:rPr>
        <w:t xml:space="preserve"> dataset comprises of 10</w:t>
      </w:r>
      <w:r w:rsidR="00B66E7B" w:rsidRPr="00405021">
        <w:rPr>
          <w:rFonts w:ascii="Calibri" w:hAnsi="Calibri" w:cs="Calibri"/>
        </w:rPr>
        <w:t>,</w:t>
      </w:r>
      <w:r w:rsidRPr="00405021">
        <w:rPr>
          <w:rFonts w:ascii="Calibri" w:hAnsi="Calibri" w:cs="Calibri"/>
        </w:rPr>
        <w:t>127 pseudonymized customer records with 23 variables. This comprehensive dataset incorporates diverse measurement scales essential for robust modelling:</w:t>
      </w:r>
    </w:p>
    <w:p w14:paraId="17F14F9E" w14:textId="445DB3CE" w:rsidR="00090416" w:rsidRPr="00405021" w:rsidRDefault="00090416" w:rsidP="00B52DB7">
      <w:pPr>
        <w:pStyle w:val="NormalWeb"/>
        <w:rPr>
          <w:rFonts w:ascii="Calibri" w:hAnsi="Calibri" w:cs="Calibri"/>
        </w:rPr>
      </w:pPr>
      <w:r w:rsidRPr="00405021">
        <w:rPr>
          <w:rFonts w:ascii="Calibri" w:hAnsi="Calibri" w:cs="Calibri"/>
          <w:noProof/>
          <w14:ligatures w14:val="standardContextual"/>
        </w:rPr>
        <w:drawing>
          <wp:inline distT="0" distB="0" distL="0" distR="0" wp14:anchorId="59C7ACF1" wp14:editId="2DCB7B1C">
            <wp:extent cx="5731510" cy="1069975"/>
            <wp:effectExtent l="0" t="0" r="2540" b="0"/>
            <wp:docPr id="1096785799" name="Picture 10"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5799" name="Picture 10" descr="A white text with black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026946D4" w14:textId="63E7ED49" w:rsidR="00B52DB7" w:rsidRPr="00405021" w:rsidRDefault="00B52DB7" w:rsidP="00B52DB7">
      <w:pPr>
        <w:pStyle w:val="NormalWeb"/>
        <w:rPr>
          <w:rFonts w:ascii="Calibri" w:hAnsi="Calibri" w:cs="Calibri"/>
        </w:rPr>
      </w:pPr>
      <w:r w:rsidRPr="00405021">
        <w:rPr>
          <w:rFonts w:ascii="Calibri" w:hAnsi="Calibri" w:cs="Calibri"/>
        </w:rPr>
        <w:t xml:space="preserve">This multidimensional approach enables us to target both </w:t>
      </w:r>
      <w:r w:rsidRPr="00405021">
        <w:rPr>
          <w:rStyle w:val="Strong"/>
          <w:rFonts w:ascii="Calibri" w:eastAsiaTheme="majorEastAsia" w:hAnsi="Calibri" w:cs="Calibri"/>
          <w:b w:val="0"/>
          <w:bCs w:val="0"/>
        </w:rPr>
        <w:t>revenue growth</w:t>
      </w:r>
      <w:r w:rsidRPr="00405021">
        <w:rPr>
          <w:rFonts w:ascii="Calibri" w:hAnsi="Calibri" w:cs="Calibri"/>
        </w:rPr>
        <w:t xml:space="preserve"> and </w:t>
      </w:r>
      <w:r w:rsidRPr="00405021">
        <w:rPr>
          <w:rStyle w:val="Strong"/>
          <w:rFonts w:ascii="Calibri" w:eastAsiaTheme="majorEastAsia" w:hAnsi="Calibri" w:cs="Calibri"/>
          <w:b w:val="0"/>
          <w:bCs w:val="0"/>
        </w:rPr>
        <w:t>churn prevention</w:t>
      </w:r>
      <w:r w:rsidR="000C1C81" w:rsidRPr="00405021">
        <w:rPr>
          <w:rFonts w:ascii="Calibri" w:hAnsi="Calibri" w:cs="Calibri"/>
        </w:rPr>
        <w:t>.</w:t>
      </w:r>
    </w:p>
    <w:p w14:paraId="1BCED5B6" w14:textId="0F19643D" w:rsidR="00B52DB7" w:rsidRPr="00405021" w:rsidRDefault="00B52DB7" w:rsidP="00B52DB7">
      <w:pPr>
        <w:pStyle w:val="NormalWeb"/>
        <w:rPr>
          <w:rFonts w:ascii="Calibri" w:hAnsi="Calibri" w:cs="Calibri"/>
        </w:rPr>
      </w:pPr>
      <w:r w:rsidRPr="00405021">
        <w:rPr>
          <w:rStyle w:val="Strong"/>
          <w:rFonts w:ascii="Calibri" w:eastAsiaTheme="majorEastAsia" w:hAnsi="Calibri" w:cs="Calibri"/>
          <w:b w:val="0"/>
          <w:bCs w:val="0"/>
        </w:rPr>
        <w:t xml:space="preserve">Analytical </w:t>
      </w:r>
      <w:r w:rsidR="00245802" w:rsidRPr="00405021">
        <w:rPr>
          <w:rStyle w:val="Strong"/>
          <w:rFonts w:ascii="Calibri" w:eastAsiaTheme="majorEastAsia" w:hAnsi="Calibri" w:cs="Calibri"/>
          <w:b w:val="0"/>
          <w:bCs w:val="0"/>
        </w:rPr>
        <w:t>Framework</w:t>
      </w:r>
    </w:p>
    <w:p w14:paraId="68E95E6A" w14:textId="46CE4194" w:rsidR="00B52DB7" w:rsidRPr="00405021" w:rsidRDefault="0032177C" w:rsidP="00B52DB7">
      <w:pPr>
        <w:pStyle w:val="NormalWeb"/>
        <w:rPr>
          <w:rFonts w:ascii="Calibri" w:hAnsi="Calibri" w:cs="Calibri"/>
        </w:rPr>
      </w:pPr>
      <w:r w:rsidRPr="00405021">
        <w:rPr>
          <w:rFonts w:ascii="Calibri" w:hAnsi="Calibri" w:cs="Calibri"/>
        </w:rPr>
        <w:t>The</w:t>
      </w:r>
      <w:r w:rsidR="00B52DB7" w:rsidRPr="00405021">
        <w:rPr>
          <w:rFonts w:ascii="Calibri" w:hAnsi="Calibri" w:cs="Calibri"/>
        </w:rPr>
        <w:t xml:space="preserve"> marketing analytics framework elevates previous simplistic approaches through three progressive stages:</w:t>
      </w:r>
    </w:p>
    <w:p w14:paraId="5BD7FB4C" w14:textId="77777777" w:rsidR="00B52DB7" w:rsidRPr="00405021" w:rsidRDefault="00B52DB7" w:rsidP="00B52DB7">
      <w:pPr>
        <w:pStyle w:val="NormalWeb"/>
        <w:numPr>
          <w:ilvl w:val="0"/>
          <w:numId w:val="10"/>
        </w:numPr>
        <w:rPr>
          <w:rFonts w:ascii="Calibri" w:hAnsi="Calibri" w:cs="Calibri"/>
        </w:rPr>
      </w:pPr>
      <w:r w:rsidRPr="00405021">
        <w:rPr>
          <w:rStyle w:val="Strong"/>
          <w:rFonts w:ascii="Calibri" w:eastAsiaTheme="majorEastAsia" w:hAnsi="Calibri" w:cs="Calibri"/>
          <w:b w:val="0"/>
          <w:bCs w:val="0"/>
        </w:rPr>
        <w:t>Descriptive profiling</w:t>
      </w:r>
      <w:r w:rsidRPr="00405021">
        <w:rPr>
          <w:rFonts w:ascii="Calibri" w:hAnsi="Calibri" w:cs="Calibri"/>
        </w:rPr>
        <w:t xml:space="preserve"> - Visualizations and statistical analysis revealing hidden customer segments, including </w:t>
      </w:r>
      <w:r w:rsidRPr="00405021">
        <w:rPr>
          <w:rStyle w:val="Emphasis"/>
          <w:rFonts w:ascii="Calibri" w:eastAsiaTheme="majorEastAsia" w:hAnsi="Calibri" w:cs="Calibri"/>
          <w:i w:val="0"/>
          <w:iCs w:val="0"/>
        </w:rPr>
        <w:t>high-limit/low-utilization</w:t>
      </w:r>
      <w:r w:rsidRPr="00405021">
        <w:rPr>
          <w:rFonts w:ascii="Calibri" w:hAnsi="Calibri" w:cs="Calibri"/>
        </w:rPr>
        <w:t xml:space="preserve"> accounts and </w:t>
      </w:r>
      <w:r w:rsidRPr="00405021">
        <w:rPr>
          <w:rStyle w:val="Emphasis"/>
          <w:rFonts w:ascii="Calibri" w:eastAsiaTheme="majorEastAsia" w:hAnsi="Calibri" w:cs="Calibri"/>
          <w:i w:val="0"/>
          <w:iCs w:val="0"/>
        </w:rPr>
        <w:t>premium-tier fee-sensitive</w:t>
      </w:r>
      <w:r w:rsidRPr="00405021">
        <w:rPr>
          <w:rFonts w:ascii="Calibri" w:hAnsi="Calibri" w:cs="Calibri"/>
        </w:rPr>
        <w:t xml:space="preserve"> members.</w:t>
      </w:r>
    </w:p>
    <w:p w14:paraId="07D076F1" w14:textId="77777777" w:rsidR="00B52DB7" w:rsidRPr="00405021" w:rsidRDefault="00B52DB7" w:rsidP="00B52DB7">
      <w:pPr>
        <w:pStyle w:val="NormalWeb"/>
        <w:numPr>
          <w:ilvl w:val="0"/>
          <w:numId w:val="10"/>
        </w:numPr>
        <w:rPr>
          <w:rFonts w:ascii="Calibri" w:hAnsi="Calibri" w:cs="Calibri"/>
        </w:rPr>
      </w:pPr>
      <w:r w:rsidRPr="00405021">
        <w:rPr>
          <w:rStyle w:val="Strong"/>
          <w:rFonts w:ascii="Calibri" w:eastAsiaTheme="majorEastAsia" w:hAnsi="Calibri" w:cs="Calibri"/>
          <w:b w:val="0"/>
          <w:bCs w:val="0"/>
        </w:rPr>
        <w:t>Predictive econometrics</w:t>
      </w:r>
      <w:r w:rsidRPr="00405021">
        <w:rPr>
          <w:rFonts w:ascii="Calibri" w:hAnsi="Calibri" w:cs="Calibri"/>
        </w:rPr>
        <w:t xml:space="preserve"> - Multivariate regression demonstrating that each $1,000 credit line increase generates approximately $42 in additional annual spend, while logistic models quantify how utilization levels influence the relationship between credit limits and attrition risk.</w:t>
      </w:r>
    </w:p>
    <w:p w14:paraId="636FB757" w14:textId="60E4B3AA" w:rsidR="00B52DB7" w:rsidRPr="00405021" w:rsidRDefault="00B52DB7" w:rsidP="00B52DB7">
      <w:pPr>
        <w:pStyle w:val="NormalWeb"/>
        <w:numPr>
          <w:ilvl w:val="0"/>
          <w:numId w:val="10"/>
        </w:numPr>
        <w:rPr>
          <w:rFonts w:ascii="Calibri" w:hAnsi="Calibri" w:cs="Calibri"/>
        </w:rPr>
      </w:pPr>
      <w:r w:rsidRPr="00405021">
        <w:rPr>
          <w:rStyle w:val="Strong"/>
          <w:rFonts w:ascii="Calibri" w:eastAsiaTheme="majorEastAsia" w:hAnsi="Calibri" w:cs="Calibri"/>
          <w:b w:val="0"/>
          <w:bCs w:val="0"/>
        </w:rPr>
        <w:t>Machine learning classification</w:t>
      </w:r>
      <w:r w:rsidRPr="00405021">
        <w:rPr>
          <w:rFonts w:ascii="Calibri" w:hAnsi="Calibri" w:cs="Calibri"/>
        </w:rPr>
        <w:t xml:space="preserve"> - Random forest algorithms identifying 74% of future churners within the highest-risk decile</w:t>
      </w:r>
      <w:r w:rsidR="00716DBF" w:rsidRPr="00405021">
        <w:rPr>
          <w:rFonts w:ascii="Calibri" w:hAnsi="Calibri" w:cs="Calibri"/>
        </w:rPr>
        <w:t xml:space="preserve">, </w:t>
      </w:r>
      <w:r w:rsidRPr="00405021">
        <w:rPr>
          <w:rFonts w:ascii="Calibri" w:hAnsi="Calibri" w:cs="Calibri"/>
        </w:rPr>
        <w:t>tripling previous detection rates. Analysis highlights inactive periods and transaction frequency as key predictive indicators.</w:t>
      </w:r>
    </w:p>
    <w:p w14:paraId="3613B644" w14:textId="16C27B28" w:rsidR="001F2FBD" w:rsidRPr="00405021" w:rsidRDefault="001F2FBD" w:rsidP="001F2FBD">
      <w:pPr>
        <w:pStyle w:val="NormalWeb"/>
        <w:ind w:left="360"/>
        <w:rPr>
          <w:rFonts w:ascii="Calibri" w:hAnsi="Calibri" w:cs="Calibri"/>
        </w:rPr>
      </w:pPr>
      <w:r w:rsidRPr="00405021">
        <w:rPr>
          <w:rFonts w:ascii="Calibri" w:hAnsi="Calibri" w:cs="Calibri"/>
        </w:rPr>
        <w:t>This data-driven framework converts standard transaction information into customized credit limit adjustments, strategic fee exemptions, and tailored behavioral rewards—interventions forecast to generate $2 million in additional margins while improving fairness through the elimination of gender-based evaluation metrics</w:t>
      </w:r>
      <w:r w:rsidR="001620E6" w:rsidRPr="00405021">
        <w:rPr>
          <w:rFonts w:ascii="Calibri" w:hAnsi="Calibri" w:cs="Calibri"/>
        </w:rPr>
        <w:t xml:space="preserve"> </w:t>
      </w:r>
      <w:sdt>
        <w:sdtPr>
          <w:rPr>
            <w:rFonts w:ascii="Calibri" w:hAnsi="Calibri" w:cs="Calibri"/>
          </w:rPr>
          <w:id w:val="-1090858312"/>
          <w:citation/>
        </w:sdtPr>
        <w:sdtEndPr/>
        <w:sdtContent>
          <w:r w:rsidR="001620E6" w:rsidRPr="00405021">
            <w:rPr>
              <w:rFonts w:ascii="Calibri" w:hAnsi="Calibri" w:cs="Calibri"/>
            </w:rPr>
            <w:fldChar w:fldCharType="begin"/>
          </w:r>
          <w:r w:rsidR="001620E6" w:rsidRPr="00405021">
            <w:rPr>
              <w:rFonts w:ascii="Calibri" w:hAnsi="Calibri" w:cs="Calibri"/>
            </w:rPr>
            <w:instrText xml:space="preserve"> CITATION BCG21 \l 16393 </w:instrText>
          </w:r>
          <w:r w:rsidR="001620E6" w:rsidRPr="00405021">
            <w:rPr>
              <w:rFonts w:ascii="Calibri" w:hAnsi="Calibri" w:cs="Calibri"/>
            </w:rPr>
            <w:fldChar w:fldCharType="separate"/>
          </w:r>
          <w:r w:rsidR="00405021" w:rsidRPr="00405021">
            <w:rPr>
              <w:rFonts w:ascii="Calibri" w:hAnsi="Calibri" w:cs="Calibri"/>
              <w:noProof/>
            </w:rPr>
            <w:t>(BCG, 2021)</w:t>
          </w:r>
          <w:r w:rsidR="001620E6" w:rsidRPr="00405021">
            <w:rPr>
              <w:rFonts w:ascii="Calibri" w:hAnsi="Calibri" w:cs="Calibri"/>
            </w:rPr>
            <w:fldChar w:fldCharType="end"/>
          </w:r>
        </w:sdtContent>
      </w:sdt>
      <w:r w:rsidRPr="00405021">
        <w:rPr>
          <w:rFonts w:ascii="Calibri" w:hAnsi="Calibri" w:cs="Calibri"/>
        </w:rPr>
        <w:t xml:space="preserve">. The </w:t>
      </w:r>
      <w:r w:rsidRPr="00405021">
        <w:rPr>
          <w:rFonts w:ascii="Calibri" w:hAnsi="Calibri" w:cs="Calibri"/>
        </w:rPr>
        <w:lastRenderedPageBreak/>
        <w:t>methodology showcases how modern marketing analytics transforms everyday payment data into lasting value that benefits both the financial institution and its clientele.</w:t>
      </w:r>
    </w:p>
    <w:p w14:paraId="53A5F106" w14:textId="77777777" w:rsidR="001F2FBD" w:rsidRPr="00405021" w:rsidRDefault="001F2FBD" w:rsidP="007A4A12">
      <w:pPr>
        <w:spacing w:before="100" w:beforeAutospacing="1" w:after="100" w:afterAutospacing="1" w:line="240" w:lineRule="auto"/>
        <w:jc w:val="center"/>
        <w:rPr>
          <w:rFonts w:ascii="Calibri" w:eastAsia="Times New Roman" w:hAnsi="Calibri" w:cs="Calibri"/>
          <w:kern w:val="0"/>
          <w:lang w:eastAsia="en-IN"/>
          <w14:ligatures w14:val="none"/>
        </w:rPr>
      </w:pPr>
    </w:p>
    <w:p w14:paraId="128968CB" w14:textId="07BEFB67" w:rsidR="00C45594" w:rsidRPr="00405021" w:rsidRDefault="00C45594" w:rsidP="00C45594">
      <w:pPr>
        <w:pStyle w:val="Caption"/>
        <w:keepNext/>
        <w:jc w:val="center"/>
        <w:rPr>
          <w:rFonts w:ascii="Calibri" w:hAnsi="Calibri" w:cs="Calibri"/>
          <w:i w:val="0"/>
          <w:iCs w:val="0"/>
          <w:sz w:val="22"/>
          <w:szCs w:val="22"/>
        </w:rPr>
      </w:pPr>
      <w:bookmarkStart w:id="2" w:name="_Toc197353904"/>
      <w:r w:rsidRPr="00405021">
        <w:rPr>
          <w:rFonts w:ascii="Calibri" w:hAnsi="Calibri" w:cs="Calibri"/>
          <w:i w:val="0"/>
          <w:iCs w:val="0"/>
          <w:sz w:val="22"/>
          <w:szCs w:val="22"/>
        </w:rPr>
        <w:t xml:space="preserve">Table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Table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w:t>
      </w:r>
      <w:r w:rsidRPr="00405021">
        <w:rPr>
          <w:rFonts w:ascii="Calibri" w:hAnsi="Calibri" w:cs="Calibri"/>
          <w:i w:val="0"/>
          <w:iCs w:val="0"/>
          <w:sz w:val="22"/>
          <w:szCs w:val="22"/>
        </w:rPr>
        <w:fldChar w:fldCharType="end"/>
      </w:r>
      <w:r w:rsidRPr="00405021">
        <w:rPr>
          <w:rFonts w:ascii="Calibri" w:hAnsi="Calibri" w:cs="Calibri"/>
          <w:i w:val="0"/>
          <w:iCs w:val="0"/>
          <w:sz w:val="22"/>
          <w:szCs w:val="22"/>
        </w:rPr>
        <w:t>: Data dictionary for the credit card customer dataset (Source: Author)</w:t>
      </w:r>
      <w:bookmarkEnd w:id="2"/>
    </w:p>
    <w:p w14:paraId="7C102436" w14:textId="3FE2273E" w:rsidR="007A4A12" w:rsidRPr="00405021" w:rsidRDefault="007A4A12" w:rsidP="007A4A12">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62085DF9" wp14:editId="330CA754">
            <wp:extent cx="4471261" cy="4562006"/>
            <wp:effectExtent l="0" t="0" r="5715" b="0"/>
            <wp:docPr id="566137113" name="Picture 1" descr="A table of data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7113" name="Picture 1" descr="A table of data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77676" cy="4568552"/>
                    </a:xfrm>
                    <a:prstGeom prst="rect">
                      <a:avLst/>
                    </a:prstGeom>
                  </pic:spPr>
                </pic:pic>
              </a:graphicData>
            </a:graphic>
          </wp:inline>
        </w:drawing>
      </w:r>
    </w:p>
    <w:p w14:paraId="6A16FB89" w14:textId="77777777" w:rsidR="007A4A12" w:rsidRPr="00405021" w:rsidRDefault="007A4A12" w:rsidP="007A4A12">
      <w:pPr>
        <w:spacing w:before="100" w:beforeAutospacing="1" w:after="100" w:afterAutospacing="1" w:line="240" w:lineRule="auto"/>
        <w:rPr>
          <w:rFonts w:ascii="Calibri" w:eastAsia="Times New Roman" w:hAnsi="Calibri" w:cs="Calibri"/>
          <w:kern w:val="0"/>
          <w:lang w:eastAsia="en-IN"/>
          <w14:ligatures w14:val="none"/>
        </w:rPr>
      </w:pPr>
    </w:p>
    <w:p w14:paraId="4F37D9DE" w14:textId="39BC899A" w:rsidR="00DA327D" w:rsidRPr="00405021" w:rsidRDefault="00DA327D" w:rsidP="00DA327D">
      <w:pPr>
        <w:pStyle w:val="Heading2"/>
        <w:rPr>
          <w:rFonts w:ascii="Calibri" w:hAnsi="Calibri" w:cs="Calibri"/>
        </w:rPr>
      </w:pPr>
      <w:bookmarkStart w:id="3" w:name="_Toc197375885"/>
      <w:r w:rsidRPr="00405021">
        <w:rPr>
          <w:rFonts w:ascii="Calibri" w:hAnsi="Calibri" w:cs="Calibri"/>
        </w:rPr>
        <w:t>Critical Variables in Credit Card Analytics Modelling</w:t>
      </w:r>
      <w:bookmarkEnd w:id="3"/>
    </w:p>
    <w:p w14:paraId="2CADFA88" w14:textId="63F39F24" w:rsidR="00DA327D" w:rsidRPr="00405021" w:rsidRDefault="00DA327D" w:rsidP="00DA327D">
      <w:pPr>
        <w:pStyle w:val="NormalWeb"/>
        <w:rPr>
          <w:rFonts w:ascii="Calibri" w:hAnsi="Calibri" w:cs="Calibri"/>
        </w:rPr>
      </w:pPr>
      <w:r w:rsidRPr="00405021">
        <w:rPr>
          <w:rFonts w:ascii="Calibri" w:hAnsi="Calibri" w:cs="Calibri"/>
        </w:rPr>
        <w:t>The variables were selected based on their predictive power and strategic relevance to customer management:</w:t>
      </w:r>
    </w:p>
    <w:p w14:paraId="297107ED" w14:textId="7ABFA92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Customer Age</w:t>
      </w:r>
      <w:r w:rsidRPr="00405021">
        <w:rPr>
          <w:rFonts w:ascii="Calibri" w:hAnsi="Calibri" w:cs="Calibri"/>
        </w:rPr>
        <w:t xml:space="preserve"> drives both models by capturing fundamental financial behavior patterns</w:t>
      </w:r>
      <w:r w:rsidR="00EB3218" w:rsidRPr="00405021">
        <w:rPr>
          <w:rFonts w:ascii="Calibri" w:hAnsi="Calibri" w:cs="Calibri"/>
        </w:rPr>
        <w:t xml:space="preserve">, </w:t>
      </w:r>
      <w:r w:rsidRPr="00405021">
        <w:rPr>
          <w:rFonts w:ascii="Calibri" w:hAnsi="Calibri" w:cs="Calibri"/>
        </w:rPr>
        <w:t>mature customers typically show stronger loyalty with steady spending, while younger cardholders more readily switch providers, necessitating age-specific retention strategies.</w:t>
      </w:r>
    </w:p>
    <w:p w14:paraId="7049E4BD"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Gender</w:t>
      </w:r>
      <w:r w:rsidRPr="00405021">
        <w:rPr>
          <w:rFonts w:ascii="Calibri" w:hAnsi="Calibri" w:cs="Calibri"/>
        </w:rPr>
        <w:t xml:space="preserve"> reveals distinct spending behaviors and product preferences, enabling more precise marketing targeting.</w:t>
      </w:r>
    </w:p>
    <w:p w14:paraId="5DD9181A"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lastRenderedPageBreak/>
        <w:t>Credit Limit</w:t>
      </w:r>
      <w:r w:rsidRPr="00405021">
        <w:rPr>
          <w:rFonts w:ascii="Calibri" w:hAnsi="Calibri" w:cs="Calibri"/>
        </w:rPr>
        <w:t xml:space="preserve"> functions as a crucial predictor affecting both spending capacity and retention. Higher limits correlate with increased spending and reflect greater institutional trust, while insufficient limits often trigger dissatisfaction leading to attrition.</w:t>
      </w:r>
    </w:p>
    <w:p w14:paraId="6C7E7795"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Average Utilization Ratio</w:t>
      </w:r>
      <w:r w:rsidRPr="00405021">
        <w:rPr>
          <w:rFonts w:ascii="Calibri" w:hAnsi="Calibri" w:cs="Calibri"/>
        </w:rPr>
        <w:t xml:space="preserve"> efficiently combines credit availability with spending patterns. Extremely low utilization indicates disengagement risk, while very high utilization may signal financial distress that pushes customers toward competitors offering better terms.</w:t>
      </w:r>
    </w:p>
    <w:p w14:paraId="4ABE7CAC"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Months Inactive</w:t>
      </w:r>
      <w:r w:rsidRPr="00405021">
        <w:rPr>
          <w:rFonts w:ascii="Calibri" w:hAnsi="Calibri" w:cs="Calibri"/>
        </w:rPr>
        <w:t xml:space="preserve"> provides a powerful early warning of disengagement, directly predicting reduced spending and elevated churn probability, enabling timely intervention.</w:t>
      </w:r>
    </w:p>
    <w:p w14:paraId="08C1C1E8"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Premium Card Tier</w:t>
      </w:r>
      <w:r w:rsidRPr="00405021">
        <w:rPr>
          <w:rFonts w:ascii="Calibri" w:hAnsi="Calibri" w:cs="Calibri"/>
        </w:rPr>
        <w:t xml:space="preserve"> variables capture an important dual effect: increased spending through enhanced benefits counterbalanced by potential churn vulnerability due to fee sensitivity.</w:t>
      </w:r>
    </w:p>
    <w:p w14:paraId="0C389895" w14:textId="77777777" w:rsidR="00DA327D" w:rsidRPr="00405021" w:rsidRDefault="00DA327D" w:rsidP="00DA327D">
      <w:pPr>
        <w:pStyle w:val="NormalWeb"/>
        <w:rPr>
          <w:rFonts w:ascii="Calibri" w:hAnsi="Calibri" w:cs="Calibri"/>
        </w:rPr>
      </w:pPr>
      <w:r w:rsidRPr="00405021">
        <w:rPr>
          <w:rStyle w:val="Strong"/>
          <w:rFonts w:ascii="Calibri" w:eastAsiaTheme="majorEastAsia" w:hAnsi="Calibri" w:cs="Calibri"/>
          <w:b w:val="0"/>
          <w:bCs w:val="0"/>
        </w:rPr>
        <w:t>Transaction Count</w:t>
      </w:r>
      <w:r w:rsidRPr="00405021">
        <w:rPr>
          <w:rFonts w:ascii="Calibri" w:hAnsi="Calibri" w:cs="Calibri"/>
        </w:rPr>
        <w:t xml:space="preserve"> serves as a fundamental engagement indicator reflecting habit formation, with frequent usage reinforcing spending patterns while significantly reducing attrition likelihood.</w:t>
      </w:r>
    </w:p>
    <w:p w14:paraId="7242418D" w14:textId="77777777" w:rsidR="00DA327D" w:rsidRPr="00405021" w:rsidRDefault="00DA327D" w:rsidP="00DA327D">
      <w:pPr>
        <w:pStyle w:val="NormalWeb"/>
        <w:rPr>
          <w:rFonts w:ascii="Calibri" w:hAnsi="Calibri" w:cs="Calibri"/>
        </w:rPr>
      </w:pPr>
      <w:r w:rsidRPr="00405021">
        <w:rPr>
          <w:rFonts w:ascii="Calibri" w:hAnsi="Calibri" w:cs="Calibri"/>
        </w:rPr>
        <w:t>These strategically selected variables deliver actionable insights for developing targeted customer management approaches that simultaneously address retention and revenue growth objectives.</w:t>
      </w:r>
    </w:p>
    <w:p w14:paraId="0F6794B0" w14:textId="77777777" w:rsidR="00BC14FE" w:rsidRPr="00405021" w:rsidRDefault="00BC14FE">
      <w:pPr>
        <w:rPr>
          <w:rFonts w:ascii="Calibri" w:hAnsi="Calibri" w:cs="Calibri"/>
        </w:rPr>
      </w:pPr>
    </w:p>
    <w:p w14:paraId="09A3427B" w14:textId="26A079D1" w:rsidR="00201D21" w:rsidRPr="00405021" w:rsidRDefault="00201D21" w:rsidP="00B003A3">
      <w:pPr>
        <w:pStyle w:val="Heading1"/>
        <w:rPr>
          <w:rFonts w:ascii="Calibri" w:hAnsi="Calibri" w:cs="Calibri"/>
        </w:rPr>
      </w:pPr>
      <w:bookmarkStart w:id="4" w:name="_Toc197375886"/>
      <w:r w:rsidRPr="00405021">
        <w:rPr>
          <w:rFonts w:ascii="Calibri" w:hAnsi="Calibri" w:cs="Calibri"/>
        </w:rPr>
        <w:t>Exploratory Data Analysis &amp; Visualisation</w:t>
      </w:r>
      <w:bookmarkEnd w:id="4"/>
    </w:p>
    <w:p w14:paraId="199E4B22" w14:textId="71AD2DB4" w:rsidR="001B73EF" w:rsidRPr="00405021" w:rsidRDefault="001B73EF" w:rsidP="001B73EF">
      <w:pPr>
        <w:pStyle w:val="NormalWeb"/>
        <w:rPr>
          <w:rFonts w:ascii="Calibri" w:hAnsi="Calibri" w:cs="Calibri"/>
        </w:rPr>
      </w:pPr>
      <w:r w:rsidRPr="00405021">
        <w:rPr>
          <w:rFonts w:ascii="Calibri" w:hAnsi="Calibri" w:cs="Calibri"/>
        </w:rPr>
        <w:t>The portfolio primarily serves mid-career professionals in the mass-affluent segment. Age distribution is nearly normal (average 46 years, standard deviation 8 years) with minimal representation of very young or elderly customers. Credit capacity shows significant stratification: a $4,549 median limit contrasts with a $25,000 95th percentile, indicating dual underwriting tiers. Annual spending averages $4,404 with significant outliers exceeding $18,000, while transaction frequency varies widely (</w:t>
      </w:r>
      <w:r w:rsidR="00184F3B" w:rsidRPr="00405021">
        <w:rPr>
          <w:rFonts w:ascii="Calibri" w:hAnsi="Calibri" w:cs="Calibri"/>
        </w:rPr>
        <w:t xml:space="preserve">IQR </w:t>
      </w:r>
      <w:r w:rsidRPr="00405021">
        <w:rPr>
          <w:rFonts w:ascii="Calibri" w:hAnsi="Calibri" w:cs="Calibri"/>
        </w:rPr>
        <w:t xml:space="preserve">45-81 transactions). Despite low average utilization (28%), the </w:t>
      </w:r>
      <w:r w:rsidR="00184F3B" w:rsidRPr="00405021">
        <w:rPr>
          <w:rFonts w:ascii="Calibri" w:hAnsi="Calibri" w:cs="Calibri"/>
        </w:rPr>
        <w:t xml:space="preserve">IQR </w:t>
      </w:r>
      <w:r w:rsidRPr="00405021">
        <w:rPr>
          <w:rFonts w:ascii="Calibri" w:hAnsi="Calibri" w:cs="Calibri"/>
        </w:rPr>
        <w:t>spans from 2% to 50%. Combined with inactive months averaging</w:t>
      </w:r>
      <w:r w:rsidR="00137C0A" w:rsidRPr="00405021">
        <w:rPr>
          <w:rFonts w:ascii="Calibri" w:hAnsi="Calibri" w:cs="Calibri"/>
        </w:rPr>
        <w:t xml:space="preserve"> at</w:t>
      </w:r>
      <w:r w:rsidRPr="00405021">
        <w:rPr>
          <w:rFonts w:ascii="Calibri" w:hAnsi="Calibri" w:cs="Calibri"/>
        </w:rPr>
        <w:t xml:space="preserve"> 2.3, this suggests the presence of both dormant and credit-constrained customer segments.</w:t>
      </w:r>
    </w:p>
    <w:p w14:paraId="75F53D23" w14:textId="77777777" w:rsidR="001B73EF" w:rsidRPr="00405021" w:rsidRDefault="001B73EF" w:rsidP="001B73EF">
      <w:pPr>
        <w:pStyle w:val="NormalWeb"/>
        <w:jc w:val="center"/>
        <w:rPr>
          <w:rFonts w:ascii="Calibri" w:hAnsi="Calibri" w:cs="Calibri"/>
          <w:sz w:val="36"/>
          <w:szCs w:val="36"/>
        </w:rPr>
      </w:pPr>
    </w:p>
    <w:p w14:paraId="48D42824" w14:textId="18C8F461" w:rsidR="004B7DE7" w:rsidRPr="00405021" w:rsidRDefault="004B7DE7" w:rsidP="001B73EF">
      <w:pPr>
        <w:pStyle w:val="Caption"/>
        <w:keepNext/>
        <w:jc w:val="center"/>
        <w:rPr>
          <w:rFonts w:ascii="Calibri" w:hAnsi="Calibri" w:cs="Calibri"/>
          <w:i w:val="0"/>
          <w:iCs w:val="0"/>
        </w:rPr>
      </w:pPr>
      <w:bookmarkStart w:id="5" w:name="_Toc197353905"/>
      <w:r w:rsidRPr="00405021">
        <w:rPr>
          <w:rFonts w:ascii="Calibri" w:hAnsi="Calibri" w:cs="Calibri"/>
          <w:i w:val="0"/>
          <w:iCs w:val="0"/>
          <w:sz w:val="24"/>
          <w:szCs w:val="24"/>
        </w:rPr>
        <w:t xml:space="preserve">Table </w:t>
      </w:r>
      <w:r w:rsidRPr="00405021">
        <w:rPr>
          <w:rFonts w:ascii="Calibri" w:hAnsi="Calibri" w:cs="Calibri"/>
          <w:i w:val="0"/>
          <w:iCs w:val="0"/>
          <w:sz w:val="24"/>
          <w:szCs w:val="24"/>
        </w:rPr>
        <w:fldChar w:fldCharType="begin"/>
      </w:r>
      <w:r w:rsidRPr="00405021">
        <w:rPr>
          <w:rFonts w:ascii="Calibri" w:hAnsi="Calibri" w:cs="Calibri"/>
          <w:i w:val="0"/>
          <w:iCs w:val="0"/>
          <w:sz w:val="24"/>
          <w:szCs w:val="24"/>
        </w:rPr>
        <w:instrText xml:space="preserve"> SEQ Table \* ARABIC </w:instrText>
      </w:r>
      <w:r w:rsidRPr="00405021">
        <w:rPr>
          <w:rFonts w:ascii="Calibri" w:hAnsi="Calibri" w:cs="Calibri"/>
          <w:i w:val="0"/>
          <w:iCs w:val="0"/>
          <w:sz w:val="24"/>
          <w:szCs w:val="24"/>
        </w:rPr>
        <w:fldChar w:fldCharType="separate"/>
      </w:r>
      <w:r w:rsidR="003926A5">
        <w:rPr>
          <w:rFonts w:ascii="Calibri" w:hAnsi="Calibri" w:cs="Calibri"/>
          <w:i w:val="0"/>
          <w:iCs w:val="0"/>
          <w:noProof/>
          <w:sz w:val="24"/>
          <w:szCs w:val="24"/>
        </w:rPr>
        <w:t>2</w:t>
      </w:r>
      <w:r w:rsidRPr="00405021">
        <w:rPr>
          <w:rFonts w:ascii="Calibri" w:hAnsi="Calibri" w:cs="Calibri"/>
          <w:i w:val="0"/>
          <w:iCs w:val="0"/>
          <w:sz w:val="24"/>
          <w:szCs w:val="24"/>
        </w:rPr>
        <w:fldChar w:fldCharType="end"/>
      </w:r>
      <w:r w:rsidRPr="00405021">
        <w:rPr>
          <w:rFonts w:ascii="Calibri" w:hAnsi="Calibri" w:cs="Calibri"/>
          <w:i w:val="0"/>
          <w:iCs w:val="0"/>
          <w:sz w:val="24"/>
          <w:szCs w:val="24"/>
        </w:rPr>
        <w:t>: Descriptive statistics for key continuous variables (Source: Author</w:t>
      </w:r>
      <w:r w:rsidRPr="00405021">
        <w:rPr>
          <w:rFonts w:ascii="Calibri" w:hAnsi="Calibri" w:cs="Calibri"/>
          <w:i w:val="0"/>
          <w:iCs w:val="0"/>
        </w:rPr>
        <w:t>)</w:t>
      </w:r>
      <w:bookmarkEnd w:id="5"/>
    </w:p>
    <w:p w14:paraId="72CE681D" w14:textId="1FF98008" w:rsidR="006F3CBC" w:rsidRPr="00405021" w:rsidRDefault="006F3CBC" w:rsidP="006F3CBC">
      <w:pPr>
        <w:spacing w:after="0"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41B16F60" wp14:editId="6DDDFBFB">
            <wp:extent cx="5731510" cy="1171575"/>
            <wp:effectExtent l="0" t="0" r="2540" b="9525"/>
            <wp:docPr id="1755798530" name="Picture 2"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8530" name="Picture 2" descr="A table with numbers and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53B2F6B5" w14:textId="4813BBA6" w:rsidR="00A57264" w:rsidRPr="00405021" w:rsidRDefault="00A57264" w:rsidP="004F5039">
      <w:pPr>
        <w:pStyle w:val="NormalWeb"/>
        <w:jc w:val="center"/>
        <w:rPr>
          <w:rStyle w:val="Strong"/>
          <w:rFonts w:ascii="Calibri" w:eastAsiaTheme="majorEastAsia" w:hAnsi="Calibri" w:cs="Calibri"/>
          <w:b w:val="0"/>
          <w:bCs w:val="0"/>
        </w:rPr>
      </w:pPr>
      <w:r w:rsidRPr="00405021">
        <w:rPr>
          <w:rFonts w:ascii="Calibri" w:eastAsiaTheme="majorEastAsia" w:hAnsi="Calibri" w:cs="Calibri"/>
          <w:noProof/>
          <w14:ligatures w14:val="standardContextual"/>
        </w:rPr>
        <w:lastRenderedPageBreak/>
        <w:drawing>
          <wp:inline distT="0" distB="0" distL="0" distR="0" wp14:anchorId="3812B9C7" wp14:editId="526C4361">
            <wp:extent cx="4480560" cy="3276643"/>
            <wp:effectExtent l="0" t="0" r="0" b="0"/>
            <wp:docPr id="33994010" name="Picture 1" descr="A graph of a customer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010" name="Picture 1" descr="A graph of a customer age distribu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90050" cy="3283583"/>
                    </a:xfrm>
                    <a:prstGeom prst="rect">
                      <a:avLst/>
                    </a:prstGeom>
                  </pic:spPr>
                </pic:pic>
              </a:graphicData>
            </a:graphic>
          </wp:inline>
        </w:drawing>
      </w:r>
    </w:p>
    <w:p w14:paraId="60069093" w14:textId="74A7BF1D" w:rsidR="001B73EF" w:rsidRPr="00405021" w:rsidRDefault="00805F2A" w:rsidP="004F5039">
      <w:pPr>
        <w:pStyle w:val="Caption"/>
        <w:jc w:val="center"/>
        <w:rPr>
          <w:rStyle w:val="Strong"/>
          <w:rFonts w:ascii="Calibri" w:eastAsiaTheme="majorEastAsia" w:hAnsi="Calibri" w:cs="Calibri"/>
          <w:b w:val="0"/>
          <w:bCs w:val="0"/>
          <w:i w:val="0"/>
          <w:iCs w:val="0"/>
          <w:sz w:val="22"/>
          <w:szCs w:val="22"/>
        </w:rPr>
      </w:pPr>
      <w:bookmarkStart w:id="6" w:name="_Toc197353912"/>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w:t>
      </w:r>
      <w:r w:rsidRPr="00405021">
        <w:rPr>
          <w:rFonts w:ascii="Calibri" w:hAnsi="Calibri" w:cs="Calibri"/>
          <w:i w:val="0"/>
          <w:iCs w:val="0"/>
          <w:sz w:val="22"/>
          <w:szCs w:val="22"/>
        </w:rPr>
        <w:fldChar w:fldCharType="end"/>
      </w:r>
      <w:r w:rsidRPr="00405021">
        <w:rPr>
          <w:rFonts w:ascii="Calibri" w:hAnsi="Calibri" w:cs="Calibri"/>
          <w:i w:val="0"/>
          <w:iCs w:val="0"/>
          <w:sz w:val="22"/>
          <w:szCs w:val="22"/>
        </w:rPr>
        <w:t>: Customer Age Histogram(Source: Author)</w:t>
      </w:r>
      <w:bookmarkEnd w:id="6"/>
    </w:p>
    <w:p w14:paraId="39846DAF" w14:textId="19025FC9" w:rsidR="00B551E6" w:rsidRPr="00405021" w:rsidRDefault="00B551E6" w:rsidP="00A57264">
      <w:pPr>
        <w:pStyle w:val="NormalWeb"/>
        <w:rPr>
          <w:rFonts w:ascii="Calibri" w:hAnsi="Calibri" w:cs="Calibri"/>
        </w:rPr>
      </w:pPr>
      <w:r w:rsidRPr="00405021">
        <w:rPr>
          <w:rStyle w:val="Strong"/>
          <w:rFonts w:ascii="Calibri" w:eastAsiaTheme="majorEastAsia" w:hAnsi="Calibri" w:cs="Calibri"/>
          <w:b w:val="0"/>
          <w:bCs w:val="0"/>
        </w:rPr>
        <w:t xml:space="preserve">Fig 1 </w:t>
      </w:r>
      <w:r w:rsidR="00137CA3" w:rsidRPr="00405021">
        <w:rPr>
          <w:rStyle w:val="Strong"/>
          <w:rFonts w:ascii="Calibri" w:eastAsiaTheme="majorEastAsia" w:hAnsi="Calibri" w:cs="Calibri"/>
          <w:b w:val="0"/>
          <w:bCs w:val="0"/>
        </w:rPr>
        <w:t>is c</w:t>
      </w:r>
      <w:r w:rsidRPr="00405021">
        <w:rPr>
          <w:rFonts w:ascii="Calibri" w:hAnsi="Calibri" w:cs="Calibri"/>
        </w:rPr>
        <w:t>entred on the mid</w:t>
      </w:r>
      <w:r w:rsidRPr="00405021">
        <w:rPr>
          <w:rFonts w:ascii="Calibri" w:hAnsi="Calibri" w:cs="Calibri"/>
        </w:rPr>
        <w:noBreakHyphen/>
        <w:t>40s (mean ≈ 46 yrs), the symmetric age distribution confirms a mature, income</w:t>
      </w:r>
      <w:r w:rsidRPr="00405021">
        <w:rPr>
          <w:rFonts w:ascii="Calibri" w:hAnsi="Calibri" w:cs="Calibri"/>
        </w:rPr>
        <w:noBreakHyphen/>
        <w:t>stable customer base. Moderate spread (σ = 8) suggests gradual lifecycle effects, reflected in a small but significant negative age coefficient in the spend model (</w:t>
      </w:r>
      <w:r w:rsidRPr="00405021">
        <w:rPr>
          <w:rFonts w:ascii="Calibri" w:hAnsi="Calibri" w:cs="Calibri"/>
        </w:rPr>
        <w:noBreakHyphen/>
        <w:t>$18 per year).</w:t>
      </w:r>
    </w:p>
    <w:p w14:paraId="7AD84AA2" w14:textId="77777777" w:rsidR="00B551E6" w:rsidRPr="00405021" w:rsidRDefault="00B551E6" w:rsidP="00A57264">
      <w:pPr>
        <w:pStyle w:val="NormalWeb"/>
        <w:rPr>
          <w:rFonts w:ascii="Calibri" w:hAnsi="Calibri" w:cs="Calibri"/>
        </w:rPr>
      </w:pPr>
    </w:p>
    <w:p w14:paraId="4373EFA3" w14:textId="5CA093A6" w:rsidR="00A57264" w:rsidRPr="00405021" w:rsidRDefault="00A5726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174D2139" wp14:editId="4EC4B9FE">
            <wp:extent cx="4030980" cy="2271389"/>
            <wp:effectExtent l="0" t="0" r="7620" b="0"/>
            <wp:docPr id="1949298871" name="Picture 2"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8871" name="Picture 2" descr="A graph of a number of blue ba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65521" cy="2290852"/>
                    </a:xfrm>
                    <a:prstGeom prst="rect">
                      <a:avLst/>
                    </a:prstGeom>
                  </pic:spPr>
                </pic:pic>
              </a:graphicData>
            </a:graphic>
          </wp:inline>
        </w:drawing>
      </w:r>
    </w:p>
    <w:p w14:paraId="74EE2C37" w14:textId="0F121776" w:rsidR="003B6DB0" w:rsidRPr="00405021" w:rsidRDefault="003E6EB4" w:rsidP="004F5039">
      <w:pPr>
        <w:pStyle w:val="Caption"/>
        <w:jc w:val="center"/>
        <w:rPr>
          <w:rFonts w:ascii="Calibri" w:hAnsi="Calibri" w:cs="Calibri"/>
          <w:i w:val="0"/>
          <w:iCs w:val="0"/>
          <w:sz w:val="22"/>
          <w:szCs w:val="22"/>
        </w:rPr>
      </w:pPr>
      <w:bookmarkStart w:id="7" w:name="_Toc197353913"/>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2</w:t>
      </w:r>
      <w:r w:rsidRPr="00405021">
        <w:rPr>
          <w:rFonts w:ascii="Calibri" w:hAnsi="Calibri" w:cs="Calibri"/>
          <w:i w:val="0"/>
          <w:iCs w:val="0"/>
          <w:sz w:val="22"/>
          <w:szCs w:val="22"/>
        </w:rPr>
        <w:fldChar w:fldCharType="end"/>
      </w:r>
      <w:r w:rsidRPr="00405021">
        <w:rPr>
          <w:rFonts w:ascii="Calibri" w:hAnsi="Calibri" w:cs="Calibri"/>
          <w:i w:val="0"/>
          <w:iCs w:val="0"/>
          <w:sz w:val="22"/>
          <w:szCs w:val="22"/>
        </w:rPr>
        <w:t>: Credit Limit Distribution(Source: Author)</w:t>
      </w:r>
      <w:bookmarkEnd w:id="7"/>
    </w:p>
    <w:p w14:paraId="41F2BAAC" w14:textId="77777777" w:rsidR="006B2863" w:rsidRPr="00405021" w:rsidRDefault="006B2863" w:rsidP="006B2863">
      <w:pPr>
        <w:pStyle w:val="NormalWeb"/>
        <w:rPr>
          <w:rFonts w:ascii="Calibri" w:hAnsi="Calibri" w:cs="Calibri"/>
        </w:rPr>
      </w:pPr>
      <w:r w:rsidRPr="00405021">
        <w:rPr>
          <w:rFonts w:ascii="Calibri" w:hAnsi="Calibri" w:cs="Calibri"/>
        </w:rPr>
        <w:t xml:space="preserve">Figure 2 reveals credit limits concentrated predominantly below $10,000, with a pronounced elongated distribution extending to $35,000. This pattern indicates separate underwriting strategies for mass-market and premium customers. This bifurcated approach explains both the observed positive spending elasticity ($42 increase per $1,000 of </w:t>
      </w:r>
      <w:r w:rsidRPr="00405021">
        <w:rPr>
          <w:rFonts w:ascii="Calibri" w:hAnsi="Calibri" w:cs="Calibri"/>
        </w:rPr>
        <w:lastRenderedPageBreak/>
        <w:t>additional credit) and the counterintuitive attrition pattern where high-limit cardholders tend to abandon accounts only when utilization remains low.</w:t>
      </w:r>
    </w:p>
    <w:p w14:paraId="6F2A484C" w14:textId="77777777" w:rsidR="003B6DB0" w:rsidRPr="00405021" w:rsidRDefault="003B6DB0" w:rsidP="006B2863">
      <w:pPr>
        <w:pStyle w:val="NormalWeb"/>
        <w:rPr>
          <w:rFonts w:ascii="Calibri" w:hAnsi="Calibri" w:cs="Calibri"/>
        </w:rPr>
      </w:pPr>
    </w:p>
    <w:p w14:paraId="36AB4AF1" w14:textId="5679E876" w:rsidR="00A57264" w:rsidRPr="00405021" w:rsidRDefault="00A5726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4151A318" wp14:editId="7F983527">
            <wp:extent cx="4543737" cy="2560320"/>
            <wp:effectExtent l="0" t="0" r="9525" b="0"/>
            <wp:docPr id="259939579" name="Picture 3" descr="A graph with 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39579" name="Picture 3" descr="A graph with a red and blue rectangl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49172" cy="2563383"/>
                    </a:xfrm>
                    <a:prstGeom prst="rect">
                      <a:avLst/>
                    </a:prstGeom>
                  </pic:spPr>
                </pic:pic>
              </a:graphicData>
            </a:graphic>
          </wp:inline>
        </w:drawing>
      </w:r>
    </w:p>
    <w:p w14:paraId="448850C3" w14:textId="2D6E4B8A" w:rsidR="003B6DB0" w:rsidRPr="00405021" w:rsidRDefault="000C0522" w:rsidP="004F5039">
      <w:pPr>
        <w:pStyle w:val="Caption"/>
        <w:jc w:val="center"/>
        <w:rPr>
          <w:rFonts w:ascii="Calibri" w:hAnsi="Calibri" w:cs="Calibri"/>
          <w:i w:val="0"/>
          <w:iCs w:val="0"/>
          <w:sz w:val="22"/>
          <w:szCs w:val="22"/>
        </w:rPr>
      </w:pPr>
      <w:bookmarkStart w:id="8" w:name="_Toc197353914"/>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3</w:t>
      </w:r>
      <w:r w:rsidRPr="00405021">
        <w:rPr>
          <w:rFonts w:ascii="Calibri" w:hAnsi="Calibri" w:cs="Calibri"/>
          <w:i w:val="0"/>
          <w:iCs w:val="0"/>
          <w:sz w:val="22"/>
          <w:szCs w:val="22"/>
        </w:rPr>
        <w:fldChar w:fldCharType="end"/>
      </w:r>
      <w:r w:rsidRPr="00405021">
        <w:rPr>
          <w:rFonts w:ascii="Calibri" w:hAnsi="Calibri" w:cs="Calibri"/>
          <w:i w:val="0"/>
          <w:iCs w:val="0"/>
          <w:sz w:val="22"/>
          <w:szCs w:val="22"/>
        </w:rPr>
        <w:t>: Utilisation by Attrition Status (Source: Author)</w:t>
      </w:r>
      <w:bookmarkEnd w:id="8"/>
    </w:p>
    <w:p w14:paraId="671D1EEB" w14:textId="75954451" w:rsidR="003B6DB0" w:rsidRPr="00405021" w:rsidRDefault="003B6DB0" w:rsidP="003B6DB0">
      <w:pPr>
        <w:pStyle w:val="NormalWeb"/>
        <w:rPr>
          <w:rFonts w:ascii="Calibri" w:hAnsi="Calibri" w:cs="Calibri"/>
        </w:rPr>
      </w:pPr>
      <w:r w:rsidRPr="00405021">
        <w:rPr>
          <w:rFonts w:ascii="Calibri" w:hAnsi="Calibri" w:cs="Calibri"/>
        </w:rPr>
        <w:t xml:space="preserve">Figure 3 illustrates that continuing customers exhibit broad utilization patterns (IQR 0-50%), while departing customers cluster heavily around minimal usage (median ~2%) with rare high-utilization exceptions. This confirms low engagement as the primary attrition driver. The small subset of high-utilization churners supports the "constraint-release" hypothesis, validating the inclusion of the utilization-limit interaction term in </w:t>
      </w:r>
      <w:r w:rsidR="00C15550" w:rsidRPr="00405021">
        <w:rPr>
          <w:rFonts w:ascii="Calibri" w:hAnsi="Calibri" w:cs="Calibri"/>
        </w:rPr>
        <w:t>the</w:t>
      </w:r>
      <w:r w:rsidRPr="00405021">
        <w:rPr>
          <w:rFonts w:ascii="Calibri" w:hAnsi="Calibri" w:cs="Calibri"/>
        </w:rPr>
        <w:t xml:space="preserve"> logistic regression model</w:t>
      </w:r>
      <w:r w:rsidR="0016763C" w:rsidRPr="00405021">
        <w:rPr>
          <w:rFonts w:ascii="Calibri" w:hAnsi="Calibri" w:cs="Calibri"/>
        </w:rPr>
        <w:t xml:space="preserve"> </w:t>
      </w:r>
      <w:sdt>
        <w:sdtPr>
          <w:rPr>
            <w:rFonts w:ascii="Calibri" w:hAnsi="Calibri" w:cs="Calibri"/>
          </w:rPr>
          <w:id w:val="-397897413"/>
          <w:citation/>
        </w:sdtPr>
        <w:sdtEndPr/>
        <w:sdtContent>
          <w:r w:rsidR="0016763C" w:rsidRPr="00405021">
            <w:rPr>
              <w:rFonts w:ascii="Calibri" w:hAnsi="Calibri" w:cs="Calibri"/>
            </w:rPr>
            <w:fldChar w:fldCharType="begin"/>
          </w:r>
          <w:r w:rsidR="0016763C" w:rsidRPr="00405021">
            <w:rPr>
              <w:rFonts w:ascii="Calibri" w:hAnsi="Calibri" w:cs="Calibri"/>
            </w:rPr>
            <w:instrText xml:space="preserve"> CITATION Dra98 \l 16393 </w:instrText>
          </w:r>
          <w:r w:rsidR="0016763C" w:rsidRPr="00405021">
            <w:rPr>
              <w:rFonts w:ascii="Calibri" w:hAnsi="Calibri" w:cs="Calibri"/>
            </w:rPr>
            <w:fldChar w:fldCharType="separate"/>
          </w:r>
          <w:r w:rsidR="00405021" w:rsidRPr="00405021">
            <w:rPr>
              <w:rFonts w:ascii="Calibri" w:hAnsi="Calibri" w:cs="Calibri"/>
              <w:noProof/>
            </w:rPr>
            <w:t>(Prelec &amp; Loewenstein, 1998)</w:t>
          </w:r>
          <w:r w:rsidR="0016763C" w:rsidRPr="00405021">
            <w:rPr>
              <w:rFonts w:ascii="Calibri" w:hAnsi="Calibri" w:cs="Calibri"/>
            </w:rPr>
            <w:fldChar w:fldCharType="end"/>
          </w:r>
        </w:sdtContent>
      </w:sdt>
      <w:r w:rsidRPr="00405021">
        <w:rPr>
          <w:rFonts w:ascii="Calibri" w:hAnsi="Calibri" w:cs="Calibri"/>
        </w:rPr>
        <w:t>.</w:t>
      </w:r>
    </w:p>
    <w:p w14:paraId="20910A94" w14:textId="77777777" w:rsidR="003B6DB0" w:rsidRPr="00405021" w:rsidRDefault="003B6DB0" w:rsidP="003B6DB0">
      <w:pPr>
        <w:pStyle w:val="NormalWeb"/>
        <w:rPr>
          <w:rFonts w:ascii="Calibri" w:hAnsi="Calibri" w:cs="Calibri"/>
        </w:rPr>
      </w:pPr>
    </w:p>
    <w:p w14:paraId="432C7FF3" w14:textId="28223BBB" w:rsidR="00A57264" w:rsidRPr="00405021" w:rsidRDefault="00A5726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082AEA9E" wp14:editId="3FE033C2">
            <wp:extent cx="4671060" cy="2632064"/>
            <wp:effectExtent l="0" t="0" r="0" b="0"/>
            <wp:docPr id="736754953" name="Picture 4"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953" name="Picture 4" descr="A graph of a distributio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79948" cy="2637072"/>
                    </a:xfrm>
                    <a:prstGeom prst="rect">
                      <a:avLst/>
                    </a:prstGeom>
                  </pic:spPr>
                </pic:pic>
              </a:graphicData>
            </a:graphic>
          </wp:inline>
        </w:drawing>
      </w:r>
    </w:p>
    <w:p w14:paraId="72654F0D" w14:textId="0849E2F1" w:rsidR="003B6DB0" w:rsidRPr="00405021" w:rsidRDefault="003B6DB0" w:rsidP="004F5039">
      <w:pPr>
        <w:pStyle w:val="Caption"/>
        <w:jc w:val="center"/>
        <w:rPr>
          <w:rFonts w:ascii="Calibri" w:hAnsi="Calibri" w:cs="Calibri"/>
          <w:i w:val="0"/>
          <w:iCs w:val="0"/>
          <w:sz w:val="22"/>
          <w:szCs w:val="22"/>
        </w:rPr>
      </w:pPr>
      <w:bookmarkStart w:id="9" w:name="_Toc197353915"/>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4</w:t>
      </w:r>
      <w:r w:rsidRPr="00405021">
        <w:rPr>
          <w:rFonts w:ascii="Calibri" w:hAnsi="Calibri" w:cs="Calibri"/>
          <w:i w:val="0"/>
          <w:iCs w:val="0"/>
          <w:sz w:val="22"/>
          <w:szCs w:val="22"/>
        </w:rPr>
        <w:fldChar w:fldCharType="end"/>
      </w:r>
      <w:r w:rsidRPr="00405021">
        <w:rPr>
          <w:rFonts w:ascii="Calibri" w:hAnsi="Calibri" w:cs="Calibri"/>
          <w:i w:val="0"/>
          <w:iCs w:val="0"/>
          <w:sz w:val="22"/>
          <w:szCs w:val="22"/>
        </w:rPr>
        <w:t>: Transaction Count Distribution (Source: Author)</w:t>
      </w:r>
      <w:bookmarkEnd w:id="9"/>
    </w:p>
    <w:p w14:paraId="466AADB5" w14:textId="55CEC827" w:rsidR="00B551E6" w:rsidRPr="00405021" w:rsidRDefault="00B551E6" w:rsidP="00A57264">
      <w:pPr>
        <w:pStyle w:val="NormalWeb"/>
        <w:rPr>
          <w:rFonts w:ascii="Calibri" w:hAnsi="Calibri" w:cs="Calibri"/>
        </w:rPr>
      </w:pPr>
      <w:r w:rsidRPr="00405021">
        <w:rPr>
          <w:rStyle w:val="Strong"/>
          <w:rFonts w:ascii="Calibri" w:eastAsiaTheme="majorEastAsia" w:hAnsi="Calibri" w:cs="Calibri"/>
          <w:b w:val="0"/>
          <w:bCs w:val="0"/>
        </w:rPr>
        <w:lastRenderedPageBreak/>
        <w:t xml:space="preserve">Fig 4 – </w:t>
      </w:r>
      <w:r w:rsidRPr="00405021">
        <w:rPr>
          <w:rFonts w:ascii="Calibri" w:hAnsi="Calibri" w:cs="Calibri"/>
        </w:rPr>
        <w:t>Transaction counts follow a unimodal distribution (mode ≈ 70</w:t>
      </w:r>
      <w:r w:rsidR="00361350" w:rsidRPr="00405021">
        <w:rPr>
          <w:rFonts w:ascii="Calibri" w:hAnsi="Calibri" w:cs="Calibri"/>
        </w:rPr>
        <w:t>) but</w:t>
      </w:r>
      <w:r w:rsidRPr="00405021">
        <w:rPr>
          <w:rFonts w:ascii="Calibri" w:hAnsi="Calibri" w:cs="Calibri"/>
        </w:rPr>
        <w:t xml:space="preserve"> drop sharply below 30. Every additional 10 transactions halves churn odds (OR = 0.49). The significant lower tail represents immediate retention opportunities</w:t>
      </w:r>
      <w:r w:rsidR="00361350" w:rsidRPr="00405021">
        <w:rPr>
          <w:rFonts w:ascii="Calibri" w:hAnsi="Calibri" w:cs="Calibri"/>
        </w:rPr>
        <w:t xml:space="preserve">, </w:t>
      </w:r>
      <w:r w:rsidRPr="00405021">
        <w:rPr>
          <w:rFonts w:ascii="Calibri" w:hAnsi="Calibri" w:cs="Calibri"/>
        </w:rPr>
        <w:t>reactivation campaigns targeting light users below 30 swipes.</w:t>
      </w:r>
    </w:p>
    <w:p w14:paraId="779A67BD" w14:textId="77777777" w:rsidR="00B551E6" w:rsidRPr="00405021" w:rsidRDefault="00B551E6" w:rsidP="00A57264">
      <w:pPr>
        <w:pStyle w:val="NormalWeb"/>
        <w:rPr>
          <w:rFonts w:ascii="Calibri" w:hAnsi="Calibri" w:cs="Calibri"/>
        </w:rPr>
      </w:pPr>
    </w:p>
    <w:p w14:paraId="77502E93" w14:textId="5CC32A31" w:rsidR="00A57264" w:rsidRPr="00405021" w:rsidRDefault="00A5726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46367942" wp14:editId="049DDC9F">
            <wp:extent cx="4868290" cy="2743200"/>
            <wp:effectExtent l="0" t="0" r="8890" b="0"/>
            <wp:docPr id="750824472" name="Picture 5" descr="A graph of a graph with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4472" name="Picture 5" descr="A graph of a graph with 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71209" cy="2744845"/>
                    </a:xfrm>
                    <a:prstGeom prst="rect">
                      <a:avLst/>
                    </a:prstGeom>
                  </pic:spPr>
                </pic:pic>
              </a:graphicData>
            </a:graphic>
          </wp:inline>
        </w:drawing>
      </w:r>
    </w:p>
    <w:p w14:paraId="5C4313EB" w14:textId="68A7C809" w:rsidR="004A46D8" w:rsidRPr="00405021" w:rsidRDefault="004A46D8" w:rsidP="004F5039">
      <w:pPr>
        <w:pStyle w:val="Caption"/>
        <w:jc w:val="center"/>
        <w:rPr>
          <w:rFonts w:ascii="Calibri" w:hAnsi="Calibri" w:cs="Calibri"/>
          <w:i w:val="0"/>
          <w:iCs w:val="0"/>
          <w:sz w:val="22"/>
          <w:szCs w:val="22"/>
        </w:rPr>
      </w:pPr>
      <w:bookmarkStart w:id="10" w:name="_Toc197353916"/>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5</w:t>
      </w:r>
      <w:r w:rsidRPr="00405021">
        <w:rPr>
          <w:rFonts w:ascii="Calibri" w:hAnsi="Calibri" w:cs="Calibri"/>
          <w:i w:val="0"/>
          <w:iCs w:val="0"/>
          <w:sz w:val="22"/>
          <w:szCs w:val="22"/>
        </w:rPr>
        <w:fldChar w:fldCharType="end"/>
      </w:r>
      <w:r w:rsidRPr="00405021">
        <w:rPr>
          <w:rFonts w:ascii="Calibri" w:hAnsi="Calibri" w:cs="Calibri"/>
          <w:i w:val="0"/>
          <w:iCs w:val="0"/>
          <w:sz w:val="22"/>
          <w:szCs w:val="22"/>
        </w:rPr>
        <w:t>: Annual Spend by Attrition Status(Source: Author)</w:t>
      </w:r>
      <w:bookmarkEnd w:id="10"/>
    </w:p>
    <w:p w14:paraId="20BE7EA0" w14:textId="0890FB16" w:rsidR="00B551E6" w:rsidRPr="00405021" w:rsidRDefault="00B551E6" w:rsidP="00A57264">
      <w:pPr>
        <w:pStyle w:val="NormalWeb"/>
        <w:rPr>
          <w:rFonts w:ascii="Calibri" w:hAnsi="Calibri" w:cs="Calibri"/>
        </w:rPr>
      </w:pPr>
      <w:r w:rsidRPr="00405021">
        <w:rPr>
          <w:rStyle w:val="Strong"/>
          <w:rFonts w:ascii="Calibri" w:eastAsiaTheme="majorEastAsia" w:hAnsi="Calibri" w:cs="Calibri"/>
          <w:b w:val="0"/>
          <w:bCs w:val="0"/>
        </w:rPr>
        <w:t xml:space="preserve">Fig 5 </w:t>
      </w:r>
      <w:r w:rsidR="00C52660" w:rsidRPr="00405021">
        <w:rPr>
          <w:rStyle w:val="Strong"/>
          <w:rFonts w:ascii="Calibri" w:eastAsiaTheme="majorEastAsia" w:hAnsi="Calibri" w:cs="Calibri"/>
          <w:b w:val="0"/>
          <w:bCs w:val="0"/>
        </w:rPr>
        <w:t xml:space="preserve">illustrates </w:t>
      </w:r>
      <w:r w:rsidR="00C52660" w:rsidRPr="00405021">
        <w:rPr>
          <w:rFonts w:ascii="Calibri" w:hAnsi="Calibri" w:cs="Calibri"/>
        </w:rPr>
        <w:t>m</w:t>
      </w:r>
      <w:r w:rsidRPr="00405021">
        <w:rPr>
          <w:rFonts w:ascii="Calibri" w:hAnsi="Calibri" w:cs="Calibri"/>
        </w:rPr>
        <w:t xml:space="preserve">edian annual spend is more than double for </w:t>
      </w:r>
      <w:r w:rsidR="00C52660" w:rsidRPr="00405021">
        <w:rPr>
          <w:rFonts w:ascii="Calibri" w:hAnsi="Calibri" w:cs="Calibri"/>
        </w:rPr>
        <w:t xml:space="preserve">continuing customers </w:t>
      </w:r>
      <w:r w:rsidRPr="00405021">
        <w:rPr>
          <w:rFonts w:ascii="Calibri" w:hAnsi="Calibri" w:cs="Calibri"/>
        </w:rPr>
        <w:t xml:space="preserve"> (≈ $4.5k) versus leavers (≈ $2.1k). The wide spend range among </w:t>
      </w:r>
      <w:r w:rsidR="005A278A" w:rsidRPr="00405021">
        <w:rPr>
          <w:rFonts w:ascii="Calibri" w:hAnsi="Calibri" w:cs="Calibri"/>
        </w:rPr>
        <w:t xml:space="preserve">continuing customers </w:t>
      </w:r>
      <w:r w:rsidRPr="00405021">
        <w:rPr>
          <w:rFonts w:ascii="Calibri" w:hAnsi="Calibri" w:cs="Calibri"/>
        </w:rPr>
        <w:t xml:space="preserve"> emphasises that high</w:t>
      </w:r>
      <w:r w:rsidRPr="00405021">
        <w:rPr>
          <w:rFonts w:ascii="Calibri" w:hAnsi="Calibri" w:cs="Calibri"/>
        </w:rPr>
        <w:noBreakHyphen/>
        <w:t>value customers are already the least likely to defect, reinforcing concentrating limited retention resources on profitable mid</w:t>
      </w:r>
      <w:r w:rsidRPr="00405021">
        <w:rPr>
          <w:rFonts w:ascii="Calibri" w:hAnsi="Calibri" w:cs="Calibri"/>
        </w:rPr>
        <w:noBreakHyphen/>
        <w:t>spenders.</w:t>
      </w:r>
    </w:p>
    <w:p w14:paraId="07E8AE13" w14:textId="77777777" w:rsidR="00B551E6" w:rsidRPr="00405021" w:rsidRDefault="00B551E6" w:rsidP="00A57264">
      <w:pPr>
        <w:pStyle w:val="NormalWeb"/>
        <w:rPr>
          <w:rFonts w:ascii="Calibri" w:hAnsi="Calibri" w:cs="Calibri"/>
        </w:rPr>
      </w:pPr>
    </w:p>
    <w:p w14:paraId="1B3B77C6" w14:textId="470EE044" w:rsidR="00A57264" w:rsidRPr="00405021" w:rsidRDefault="00636C54" w:rsidP="004F5039">
      <w:pPr>
        <w:pStyle w:val="NormalWeb"/>
        <w:jc w:val="center"/>
        <w:rPr>
          <w:rFonts w:ascii="Calibri" w:hAnsi="Calibri" w:cs="Calibri"/>
        </w:rPr>
      </w:pPr>
      <w:r w:rsidRPr="00405021">
        <w:rPr>
          <w:rFonts w:ascii="Calibri" w:hAnsi="Calibri" w:cs="Calibri"/>
          <w:noProof/>
          <w14:ligatures w14:val="standardContextual"/>
        </w:rPr>
        <w:lastRenderedPageBreak/>
        <w:drawing>
          <wp:inline distT="0" distB="0" distL="0" distR="0" wp14:anchorId="3C3A69D4" wp14:editId="3740C604">
            <wp:extent cx="4053760" cy="3492500"/>
            <wp:effectExtent l="0" t="0" r="4445" b="0"/>
            <wp:docPr id="137015125" name="Picture 6"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125" name="Picture 6" descr="A close-up of a graph&#10;&#10;AI-generated content may be incorrect."/>
                    <pic:cNvPicPr/>
                  </pic:nvPicPr>
                  <pic:blipFill rotWithShape="1">
                    <a:blip r:embed="rId19" cstate="print">
                      <a:extLst>
                        <a:ext uri="{28A0092B-C50C-407E-A947-70E740481C1C}">
                          <a14:useLocalDpi xmlns:a14="http://schemas.microsoft.com/office/drawing/2010/main" val="0"/>
                        </a:ext>
                      </a:extLst>
                    </a:blip>
                    <a:srcRect l="19639" r="17690"/>
                    <a:stretch/>
                  </pic:blipFill>
                  <pic:spPr bwMode="auto">
                    <a:xfrm>
                      <a:off x="0" y="0"/>
                      <a:ext cx="4070791" cy="3507173"/>
                    </a:xfrm>
                    <a:prstGeom prst="rect">
                      <a:avLst/>
                    </a:prstGeom>
                    <a:ln>
                      <a:noFill/>
                    </a:ln>
                    <a:extLst>
                      <a:ext uri="{53640926-AAD7-44D8-BBD7-CCE9431645EC}">
                        <a14:shadowObscured xmlns:a14="http://schemas.microsoft.com/office/drawing/2010/main"/>
                      </a:ext>
                    </a:extLst>
                  </pic:spPr>
                </pic:pic>
              </a:graphicData>
            </a:graphic>
          </wp:inline>
        </w:drawing>
      </w:r>
    </w:p>
    <w:p w14:paraId="693DF3B8" w14:textId="486BC31A" w:rsidR="00044A63" w:rsidRPr="00405021" w:rsidRDefault="0080048D" w:rsidP="004F5039">
      <w:pPr>
        <w:pStyle w:val="Caption"/>
        <w:jc w:val="center"/>
        <w:rPr>
          <w:rFonts w:ascii="Calibri" w:hAnsi="Calibri" w:cs="Calibri"/>
          <w:i w:val="0"/>
          <w:iCs w:val="0"/>
          <w:sz w:val="22"/>
          <w:szCs w:val="22"/>
        </w:rPr>
      </w:pPr>
      <w:bookmarkStart w:id="11" w:name="_Toc197353917"/>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6</w:t>
      </w:r>
      <w:r w:rsidRPr="00405021">
        <w:rPr>
          <w:rFonts w:ascii="Calibri" w:hAnsi="Calibri" w:cs="Calibri"/>
          <w:i w:val="0"/>
          <w:iCs w:val="0"/>
          <w:sz w:val="22"/>
          <w:szCs w:val="22"/>
        </w:rPr>
        <w:fldChar w:fldCharType="end"/>
      </w:r>
      <w:r w:rsidRPr="00405021">
        <w:rPr>
          <w:rFonts w:ascii="Calibri" w:hAnsi="Calibri" w:cs="Calibri"/>
          <w:i w:val="0"/>
          <w:iCs w:val="0"/>
          <w:sz w:val="22"/>
          <w:szCs w:val="22"/>
        </w:rPr>
        <w:t>: Correlation Heat Map(Source: Author)</w:t>
      </w:r>
      <w:bookmarkEnd w:id="11"/>
    </w:p>
    <w:p w14:paraId="5C6E954A" w14:textId="458F2DE7" w:rsidR="00B551E6" w:rsidRPr="00405021" w:rsidRDefault="00B551E6" w:rsidP="00636C54">
      <w:pPr>
        <w:pStyle w:val="NormalWeb"/>
        <w:rPr>
          <w:rFonts w:ascii="Calibri" w:hAnsi="Calibri" w:cs="Calibri"/>
        </w:rPr>
      </w:pPr>
      <w:r w:rsidRPr="00405021">
        <w:rPr>
          <w:rStyle w:val="Strong"/>
          <w:rFonts w:ascii="Calibri" w:eastAsiaTheme="majorEastAsia" w:hAnsi="Calibri" w:cs="Calibri"/>
          <w:b w:val="0"/>
          <w:bCs w:val="0"/>
        </w:rPr>
        <w:t xml:space="preserve">Fig 6 </w:t>
      </w:r>
      <w:r w:rsidRPr="00405021">
        <w:rPr>
          <w:rFonts w:ascii="Calibri" w:hAnsi="Calibri" w:cs="Calibri"/>
        </w:rPr>
        <w:t>The heat</w:t>
      </w:r>
      <w:r w:rsidRPr="00405021">
        <w:rPr>
          <w:rFonts w:ascii="Calibri" w:hAnsi="Calibri" w:cs="Calibri"/>
        </w:rPr>
        <w:noBreakHyphen/>
        <w:t>map shows most predictors are statistically independent; only transaction amount and count are highly correlated (r=0.81). Other variable pairs maintain correlations below ±0.5, ensuring variance inflation factors are comfortably under critical limits (≈ 2.1). This permits concurrent inclusion of diverse variables without multicollinearity.</w:t>
      </w:r>
    </w:p>
    <w:p w14:paraId="07E50134" w14:textId="77777777" w:rsidR="00CB6B29" w:rsidRPr="00405021" w:rsidRDefault="00CB6B29" w:rsidP="00636C54">
      <w:pPr>
        <w:pStyle w:val="NormalWeb"/>
        <w:rPr>
          <w:rFonts w:ascii="Calibri" w:hAnsi="Calibri" w:cs="Calibri"/>
        </w:rPr>
      </w:pPr>
    </w:p>
    <w:p w14:paraId="10574AB0" w14:textId="4425D455" w:rsidR="00636C54" w:rsidRPr="00405021" w:rsidRDefault="00636C5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7A4F8F53" wp14:editId="3B24CA6D">
            <wp:extent cx="5313257" cy="2339340"/>
            <wp:effectExtent l="0" t="0" r="1905" b="3810"/>
            <wp:docPr id="624066965" name="Picture 7" descr="A graph of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6965" name="Picture 7" descr="A graph of a number of red squar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7004" cy="2340990"/>
                    </a:xfrm>
                    <a:prstGeom prst="rect">
                      <a:avLst/>
                    </a:prstGeom>
                  </pic:spPr>
                </pic:pic>
              </a:graphicData>
            </a:graphic>
          </wp:inline>
        </w:drawing>
      </w:r>
    </w:p>
    <w:p w14:paraId="4334CE4E" w14:textId="5154AD84" w:rsidR="007C6F18" w:rsidRPr="00405021" w:rsidRDefault="007C6F18" w:rsidP="004F5039">
      <w:pPr>
        <w:pStyle w:val="Caption"/>
        <w:jc w:val="center"/>
        <w:rPr>
          <w:rFonts w:ascii="Calibri" w:hAnsi="Calibri" w:cs="Calibri"/>
          <w:i w:val="0"/>
          <w:iCs w:val="0"/>
          <w:sz w:val="22"/>
          <w:szCs w:val="22"/>
        </w:rPr>
      </w:pPr>
      <w:bookmarkStart w:id="12" w:name="_Toc197353918"/>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7</w:t>
      </w:r>
      <w:r w:rsidRPr="00405021">
        <w:rPr>
          <w:rFonts w:ascii="Calibri" w:hAnsi="Calibri" w:cs="Calibri"/>
          <w:i w:val="0"/>
          <w:iCs w:val="0"/>
          <w:sz w:val="22"/>
          <w:szCs w:val="22"/>
        </w:rPr>
        <w:fldChar w:fldCharType="end"/>
      </w:r>
      <w:r w:rsidRPr="00405021">
        <w:rPr>
          <w:rFonts w:ascii="Calibri" w:hAnsi="Calibri" w:cs="Calibri"/>
          <w:i w:val="0"/>
          <w:iCs w:val="0"/>
          <w:sz w:val="22"/>
          <w:szCs w:val="22"/>
        </w:rPr>
        <w:t>: Attrition by Card Category (</w:t>
      </w:r>
      <w:r w:rsidR="00452A64" w:rsidRPr="00405021">
        <w:rPr>
          <w:rFonts w:ascii="Calibri" w:hAnsi="Calibri" w:cs="Calibri"/>
          <w:i w:val="0"/>
          <w:iCs w:val="0"/>
          <w:sz w:val="22"/>
          <w:szCs w:val="22"/>
        </w:rPr>
        <w:t>Source: Author</w:t>
      </w:r>
      <w:r w:rsidRPr="00405021">
        <w:rPr>
          <w:rFonts w:ascii="Calibri" w:hAnsi="Calibri" w:cs="Calibri"/>
          <w:i w:val="0"/>
          <w:iCs w:val="0"/>
          <w:sz w:val="22"/>
          <w:szCs w:val="22"/>
        </w:rPr>
        <w:t>)</w:t>
      </w:r>
      <w:bookmarkEnd w:id="12"/>
    </w:p>
    <w:p w14:paraId="5DEC5E75" w14:textId="77777777" w:rsidR="00B551E6" w:rsidRPr="00405021" w:rsidRDefault="00B551E6" w:rsidP="00A57264">
      <w:pPr>
        <w:pStyle w:val="NormalWeb"/>
        <w:rPr>
          <w:rFonts w:ascii="Calibri" w:hAnsi="Calibri" w:cs="Calibri"/>
        </w:rPr>
      </w:pPr>
      <w:r w:rsidRPr="00405021">
        <w:rPr>
          <w:rStyle w:val="Strong"/>
          <w:rFonts w:ascii="Calibri" w:eastAsiaTheme="majorEastAsia" w:hAnsi="Calibri" w:cs="Calibri"/>
          <w:b w:val="0"/>
          <w:bCs w:val="0"/>
        </w:rPr>
        <w:t>Fig 7 – Attrition rate by card tier:</w:t>
      </w:r>
      <w:r w:rsidRPr="00405021">
        <w:rPr>
          <w:rFonts w:ascii="Calibri" w:hAnsi="Calibri" w:cs="Calibri"/>
        </w:rPr>
        <w:t xml:space="preserve"> “Other” and “Gold” tiers exhibit markedly higher churn (25% and 18%) than mass “Blue” (16%) or low</w:t>
      </w:r>
      <w:r w:rsidRPr="00405021">
        <w:rPr>
          <w:rFonts w:ascii="Calibri" w:hAnsi="Calibri" w:cs="Calibri"/>
        </w:rPr>
        <w:noBreakHyphen/>
        <w:t xml:space="preserve">fee “Silver” (15%). Fee fatigue appears to </w:t>
      </w:r>
      <w:r w:rsidRPr="00405021">
        <w:rPr>
          <w:rFonts w:ascii="Calibri" w:hAnsi="Calibri" w:cs="Calibri"/>
        </w:rPr>
        <w:lastRenderedPageBreak/>
        <w:t>outweigh perk value. Premium tiers merit proactive fee</w:t>
      </w:r>
      <w:r w:rsidRPr="00405021">
        <w:rPr>
          <w:rFonts w:ascii="Calibri" w:hAnsi="Calibri" w:cs="Calibri"/>
        </w:rPr>
        <w:noBreakHyphen/>
        <w:t>waiver or benefit</w:t>
      </w:r>
      <w:r w:rsidRPr="00405021">
        <w:rPr>
          <w:rFonts w:ascii="Calibri" w:hAnsi="Calibri" w:cs="Calibri"/>
        </w:rPr>
        <w:noBreakHyphen/>
        <w:t>refresh strategies before renewal cycles.</w:t>
      </w:r>
    </w:p>
    <w:p w14:paraId="01668455" w14:textId="77777777" w:rsidR="00CB6B29" w:rsidRPr="00405021" w:rsidRDefault="00CB6B29" w:rsidP="00A57264">
      <w:pPr>
        <w:pStyle w:val="NormalWeb"/>
        <w:rPr>
          <w:rFonts w:ascii="Calibri" w:hAnsi="Calibri" w:cs="Calibri"/>
        </w:rPr>
      </w:pPr>
    </w:p>
    <w:p w14:paraId="2A86800B" w14:textId="016D6C9C" w:rsidR="00636C54" w:rsidRPr="00405021" w:rsidRDefault="00636C54" w:rsidP="004F5039">
      <w:pPr>
        <w:pStyle w:val="NormalWeb"/>
        <w:jc w:val="center"/>
        <w:rPr>
          <w:rFonts w:ascii="Calibri" w:hAnsi="Calibri" w:cs="Calibri"/>
        </w:rPr>
      </w:pPr>
      <w:r w:rsidRPr="00405021">
        <w:rPr>
          <w:rFonts w:ascii="Calibri" w:hAnsi="Calibri" w:cs="Calibri"/>
          <w:noProof/>
          <w14:ligatures w14:val="standardContextual"/>
        </w:rPr>
        <w:drawing>
          <wp:inline distT="0" distB="0" distL="0" distR="0" wp14:anchorId="2B15BA4E" wp14:editId="63148B28">
            <wp:extent cx="5347871" cy="2354580"/>
            <wp:effectExtent l="0" t="0" r="5715" b="7620"/>
            <wp:docPr id="1145630722" name="Picture 8"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0722" name="Picture 8" descr="A graph showing a number of peopl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2123" cy="2356452"/>
                    </a:xfrm>
                    <a:prstGeom prst="rect">
                      <a:avLst/>
                    </a:prstGeom>
                  </pic:spPr>
                </pic:pic>
              </a:graphicData>
            </a:graphic>
          </wp:inline>
        </w:drawing>
      </w:r>
    </w:p>
    <w:p w14:paraId="060D4BB7" w14:textId="215C04DF" w:rsidR="00405E33" w:rsidRPr="00405021" w:rsidRDefault="00725CE7" w:rsidP="004F5039">
      <w:pPr>
        <w:pStyle w:val="Caption"/>
        <w:jc w:val="center"/>
        <w:rPr>
          <w:rFonts w:ascii="Calibri" w:hAnsi="Calibri" w:cs="Calibri"/>
          <w:i w:val="0"/>
          <w:iCs w:val="0"/>
          <w:sz w:val="22"/>
          <w:szCs w:val="22"/>
        </w:rPr>
      </w:pPr>
      <w:bookmarkStart w:id="13" w:name="_Toc197353919"/>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8</w:t>
      </w:r>
      <w:r w:rsidRPr="00405021">
        <w:rPr>
          <w:rFonts w:ascii="Calibri" w:hAnsi="Calibri" w:cs="Calibri"/>
          <w:i w:val="0"/>
          <w:iCs w:val="0"/>
          <w:sz w:val="22"/>
          <w:szCs w:val="22"/>
        </w:rPr>
        <w:fldChar w:fldCharType="end"/>
      </w:r>
      <w:r w:rsidRPr="00405021">
        <w:rPr>
          <w:rFonts w:ascii="Calibri" w:hAnsi="Calibri" w:cs="Calibri"/>
          <w:i w:val="0"/>
          <w:iCs w:val="0"/>
          <w:sz w:val="22"/>
          <w:szCs w:val="22"/>
        </w:rPr>
        <w:t>: Attrition Rate by Income Category(Source: Author)</w:t>
      </w:r>
      <w:bookmarkEnd w:id="13"/>
    </w:p>
    <w:p w14:paraId="381DE026" w14:textId="77777777" w:rsidR="00452A64" w:rsidRPr="00405021" w:rsidRDefault="00452A64" w:rsidP="00452A64">
      <w:pPr>
        <w:rPr>
          <w:rFonts w:ascii="Calibri" w:hAnsi="Calibri" w:cs="Calibri"/>
        </w:rPr>
      </w:pPr>
    </w:p>
    <w:p w14:paraId="390F2699" w14:textId="77777777" w:rsidR="00556993" w:rsidRPr="00405021" w:rsidRDefault="00556993" w:rsidP="00556993">
      <w:pPr>
        <w:pStyle w:val="NormalWeb"/>
        <w:rPr>
          <w:rFonts w:ascii="Calibri" w:hAnsi="Calibri" w:cs="Calibri"/>
        </w:rPr>
      </w:pPr>
      <w:r w:rsidRPr="00405021">
        <w:rPr>
          <w:rFonts w:ascii="Calibri" w:hAnsi="Calibri" w:cs="Calibri"/>
        </w:rPr>
        <w:t>Figure 8 demonstrates that attrition reaches its highest levels at both income extremes—below $40,000 (17%) and above $120,000 (17%)—while showing reduced rates in the $60,000-$120,000 range (approximately 15%). This pattern suggests price sensitivity drives departures among lower-income customers, while competitive recruitment affects higher-income cardholders, with the middle-income segment displaying comparatively stronger retention.</w:t>
      </w:r>
    </w:p>
    <w:p w14:paraId="79F572BA" w14:textId="6AE3DA38" w:rsidR="00BC14FE" w:rsidRPr="00405021" w:rsidRDefault="00B551E6">
      <w:pPr>
        <w:rPr>
          <w:rFonts w:ascii="Calibri" w:hAnsi="Calibri" w:cs="Calibri"/>
        </w:rPr>
      </w:pPr>
      <w:r w:rsidRPr="00405021">
        <w:rPr>
          <w:rFonts w:ascii="Calibri" w:hAnsi="Calibri" w:cs="Calibri"/>
        </w:rPr>
        <w:t>The exploratory analysis reveals a bifurcated risk profile. The primary threat comes from disengaged customers characterized by low utilization and minimal transaction activity, often found in lower income brackets or premium fee tiers. A more nuanced secondary risk emerges from limit-constrained heavy users whose attrition potential manifests specifically when their spending capacity becomes restrictive. These distinct behavioral patterns directly informed our linear (spend prediction), logistic (churn probability with interaction), and random forest (segment identification) model choices, yielding insights for targeted intervention strategies.</w:t>
      </w:r>
    </w:p>
    <w:p w14:paraId="6527ECA5" w14:textId="77777777" w:rsidR="00816EEC" w:rsidRPr="00405021" w:rsidRDefault="00816EEC">
      <w:pPr>
        <w:rPr>
          <w:rFonts w:ascii="Calibri" w:hAnsi="Calibri" w:cs="Calibri"/>
        </w:rPr>
      </w:pPr>
    </w:p>
    <w:p w14:paraId="2CB3B299" w14:textId="77777777" w:rsidR="00F1753C" w:rsidRPr="00405021" w:rsidRDefault="00F1753C">
      <w:pPr>
        <w:rPr>
          <w:rFonts w:ascii="Calibri" w:hAnsi="Calibri" w:cs="Calibri"/>
        </w:rPr>
      </w:pPr>
    </w:p>
    <w:p w14:paraId="429B4267" w14:textId="7479E94E" w:rsidR="002440CA" w:rsidRPr="00405021" w:rsidRDefault="00A22899" w:rsidP="00816EEC">
      <w:pPr>
        <w:pStyle w:val="Heading1"/>
        <w:rPr>
          <w:rFonts w:ascii="Calibri" w:hAnsi="Calibri" w:cs="Calibri"/>
        </w:rPr>
      </w:pPr>
      <w:bookmarkStart w:id="14" w:name="_Toc197375887"/>
      <w:r w:rsidRPr="00405021">
        <w:rPr>
          <w:rFonts w:ascii="Calibri" w:hAnsi="Calibri" w:cs="Calibri"/>
        </w:rPr>
        <w:lastRenderedPageBreak/>
        <w:t>Hypotheses and Model Justification</w:t>
      </w:r>
      <w:bookmarkEnd w:id="14"/>
    </w:p>
    <w:p w14:paraId="2D2EF466" w14:textId="088C4A35" w:rsidR="00631082" w:rsidRPr="00405021" w:rsidRDefault="00631082" w:rsidP="00631082">
      <w:pPr>
        <w:pStyle w:val="whitespace-pre-wrap"/>
        <w:rPr>
          <w:rFonts w:ascii="Calibri" w:hAnsi="Calibri" w:cs="Calibri"/>
        </w:rPr>
      </w:pPr>
      <w:r w:rsidRPr="00405021">
        <w:rPr>
          <w:rFonts w:ascii="Calibri" w:hAnsi="Calibri" w:cs="Calibri"/>
        </w:rPr>
        <w:t>The modelling approach follows the natural credit card profit sequence—</w:t>
      </w:r>
      <w:r w:rsidRPr="00405021">
        <w:rPr>
          <w:rStyle w:val="Strong"/>
          <w:rFonts w:ascii="Calibri" w:eastAsiaTheme="majorEastAsia" w:hAnsi="Calibri" w:cs="Calibri"/>
          <w:b w:val="0"/>
          <w:bCs w:val="0"/>
        </w:rPr>
        <w:t>spend generation → retention mechanics → early-warning triage</w:t>
      </w:r>
      <w:r w:rsidRPr="00405021">
        <w:rPr>
          <w:rFonts w:ascii="Calibri" w:hAnsi="Calibri" w:cs="Calibri"/>
        </w:rPr>
        <w:t>—with each component grounded in both behavioral theory and statistical rigor.</w:t>
      </w:r>
    </w:p>
    <w:p w14:paraId="7D62B309" w14:textId="77777777" w:rsidR="00631082" w:rsidRPr="00405021" w:rsidRDefault="00631082" w:rsidP="00631082">
      <w:pPr>
        <w:pStyle w:val="Heading2"/>
        <w:rPr>
          <w:rFonts w:ascii="Calibri" w:hAnsi="Calibri" w:cs="Calibri"/>
        </w:rPr>
      </w:pPr>
      <w:bookmarkStart w:id="15" w:name="_Toc197375888"/>
      <w:r w:rsidRPr="00405021">
        <w:rPr>
          <w:rFonts w:ascii="Calibri" w:hAnsi="Calibri" w:cs="Calibri"/>
        </w:rPr>
        <w:t>1 | Linear Spend Model (OLS)</w:t>
      </w:r>
      <w:bookmarkEnd w:id="15"/>
    </w:p>
    <w:p w14:paraId="4E7B5322" w14:textId="77777777" w:rsidR="00631082" w:rsidRPr="00405021" w:rsidRDefault="00631082" w:rsidP="00631082">
      <w:pPr>
        <w:pStyle w:val="whitespace-pre-wrap"/>
        <w:rPr>
          <w:rFonts w:ascii="Calibri" w:hAnsi="Calibri" w:cs="Calibri"/>
        </w:rPr>
      </w:pPr>
      <w:r w:rsidRPr="00405021">
        <w:rPr>
          <w:rStyle w:val="Emphasis"/>
          <w:rFonts w:ascii="Calibri" w:eastAsiaTheme="majorEastAsia" w:hAnsi="Calibri" w:cs="Calibri"/>
        </w:rPr>
        <w:t>Hypothesis H₁:</w:t>
      </w:r>
      <w:r w:rsidRPr="00405021">
        <w:rPr>
          <w:rFonts w:ascii="Calibri" w:hAnsi="Calibri" w:cs="Calibri"/>
        </w:rPr>
        <w:t xml:space="preserve"> </w:t>
      </w:r>
      <w:r w:rsidRPr="00405021">
        <w:rPr>
          <w:rStyle w:val="Strong"/>
          <w:rFonts w:ascii="Calibri" w:eastAsiaTheme="majorEastAsia" w:hAnsi="Calibri" w:cs="Calibri"/>
          <w:b w:val="0"/>
          <w:bCs w:val="0"/>
        </w:rPr>
        <w:t>β₁ &gt; 0</w:t>
      </w:r>
      <w:r w:rsidRPr="00405021">
        <w:rPr>
          <w:rFonts w:ascii="Calibri" w:hAnsi="Calibri" w:cs="Calibri"/>
        </w:rPr>
        <w:t xml:space="preserve"> for credit limit; </w:t>
      </w:r>
      <w:r w:rsidRPr="00405021">
        <w:rPr>
          <w:rStyle w:val="Strong"/>
          <w:rFonts w:ascii="Calibri" w:eastAsiaTheme="majorEastAsia" w:hAnsi="Calibri" w:cs="Calibri"/>
          <w:b w:val="0"/>
          <w:bCs w:val="0"/>
        </w:rPr>
        <w:t>β₂ &lt; 0</w:t>
      </w:r>
      <w:r w:rsidRPr="00405021">
        <w:rPr>
          <w:rFonts w:ascii="Calibri" w:hAnsi="Calibri" w:cs="Calibri"/>
        </w:rPr>
        <w:t xml:space="preserve"> for months inactive.</w:t>
      </w:r>
    </w:p>
    <w:p w14:paraId="6C312AB9" w14:textId="3F97C3E7"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Theory:</w:t>
      </w:r>
      <w:r w:rsidRPr="00405021">
        <w:rPr>
          <w:rFonts w:ascii="Calibri" w:hAnsi="Calibri" w:cs="Calibri"/>
        </w:rPr>
        <w:t xml:space="preserve"> Mental accounting research suggests higher credit limits reduce self-control constraints </w:t>
      </w:r>
      <w:sdt>
        <w:sdtPr>
          <w:rPr>
            <w:rFonts w:ascii="Calibri" w:hAnsi="Calibri" w:cs="Calibri"/>
          </w:rPr>
          <w:id w:val="1473022828"/>
          <w:citation/>
        </w:sdtPr>
        <w:sdtEndPr/>
        <w:sdtContent>
          <w:r w:rsidR="007E1904" w:rsidRPr="00405021">
            <w:rPr>
              <w:rFonts w:ascii="Calibri" w:hAnsi="Calibri" w:cs="Calibri"/>
            </w:rPr>
            <w:fldChar w:fldCharType="begin"/>
          </w:r>
          <w:r w:rsidR="007E1904" w:rsidRPr="00405021">
            <w:rPr>
              <w:rFonts w:ascii="Calibri" w:hAnsi="Calibri" w:cs="Calibri"/>
            </w:rPr>
            <w:instrText xml:space="preserve"> CITATION Dra98 \l 16393 </w:instrText>
          </w:r>
          <w:r w:rsidR="007E1904" w:rsidRPr="00405021">
            <w:rPr>
              <w:rFonts w:ascii="Calibri" w:hAnsi="Calibri" w:cs="Calibri"/>
            </w:rPr>
            <w:fldChar w:fldCharType="separate"/>
          </w:r>
          <w:r w:rsidR="00405021" w:rsidRPr="00405021">
            <w:rPr>
              <w:rFonts w:ascii="Calibri" w:hAnsi="Calibri" w:cs="Calibri"/>
              <w:noProof/>
            </w:rPr>
            <w:t>(Prelec &amp; Loewenstein, 1998)</w:t>
          </w:r>
          <w:r w:rsidR="007E1904" w:rsidRPr="00405021">
            <w:rPr>
              <w:rFonts w:ascii="Calibri" w:hAnsi="Calibri" w:cs="Calibri"/>
            </w:rPr>
            <w:fldChar w:fldCharType="end"/>
          </w:r>
        </w:sdtContent>
      </w:sdt>
      <w:r w:rsidRPr="00405021">
        <w:rPr>
          <w:rFonts w:ascii="Calibri" w:hAnsi="Calibri" w:cs="Calibri"/>
        </w:rPr>
        <w:t xml:space="preserve">, while inactivity indicates habit deterioration </w:t>
      </w:r>
      <w:sdt>
        <w:sdtPr>
          <w:rPr>
            <w:rFonts w:ascii="Calibri" w:hAnsi="Calibri" w:cs="Calibri"/>
          </w:rPr>
          <w:id w:val="-173335749"/>
          <w:citation/>
        </w:sdtPr>
        <w:sdtEndPr/>
        <w:sdtContent>
          <w:r w:rsidR="000C41F8" w:rsidRPr="00405021">
            <w:rPr>
              <w:rFonts w:ascii="Calibri" w:hAnsi="Calibri" w:cs="Calibri"/>
            </w:rPr>
            <w:fldChar w:fldCharType="begin"/>
          </w:r>
          <w:r w:rsidR="000C41F8" w:rsidRPr="00405021">
            <w:rPr>
              <w:rFonts w:ascii="Calibri" w:hAnsi="Calibri" w:cs="Calibri"/>
            </w:rPr>
            <w:instrText xml:space="preserve"> CITATION Gar22 \l 16393 </w:instrText>
          </w:r>
          <w:r w:rsidR="000C41F8" w:rsidRPr="00405021">
            <w:rPr>
              <w:rFonts w:ascii="Calibri" w:hAnsi="Calibri" w:cs="Calibri"/>
            </w:rPr>
            <w:fldChar w:fldCharType="separate"/>
          </w:r>
          <w:r w:rsidR="00405021" w:rsidRPr="00405021">
            <w:rPr>
              <w:rFonts w:ascii="Calibri" w:hAnsi="Calibri" w:cs="Calibri"/>
              <w:noProof/>
            </w:rPr>
            <w:t>(Gardner, et al., 2022)</w:t>
          </w:r>
          <w:r w:rsidR="000C41F8" w:rsidRPr="00405021">
            <w:rPr>
              <w:rFonts w:ascii="Calibri" w:hAnsi="Calibri" w:cs="Calibri"/>
            </w:rPr>
            <w:fldChar w:fldCharType="end"/>
          </w:r>
        </w:sdtContent>
      </w:sdt>
      <w:r w:rsidRPr="00405021">
        <w:rPr>
          <w:rFonts w:ascii="Calibri" w:hAnsi="Calibri" w:cs="Calibri"/>
        </w:rPr>
        <w:t>.</w:t>
      </w:r>
    </w:p>
    <w:p w14:paraId="3540E036" w14:textId="77777777"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Methodology:</w:t>
      </w:r>
      <w:r w:rsidRPr="00405021">
        <w:rPr>
          <w:rFonts w:ascii="Calibri" w:hAnsi="Calibri" w:cs="Calibri"/>
        </w:rPr>
        <w:t xml:space="preserve"> OLS is appropriate as annual spend becomes symmetric after winsorization, residuals show homoscedasticity (BP p = 0.23), and VIFs &lt; 2 ensure reliable estimates. Dollar-denominated coefficients directly translate to revenue lift per $1,000 limit—crucial for pricing credit risk.</w:t>
      </w:r>
    </w:p>
    <w:p w14:paraId="14E64BC4" w14:textId="7B20CB4F"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Limitation:</w:t>
      </w:r>
      <w:r w:rsidRPr="00405021">
        <w:rPr>
          <w:rFonts w:ascii="Calibri" w:hAnsi="Calibri" w:cs="Calibri"/>
        </w:rPr>
        <w:t xml:space="preserve"> Potential endogeneity exists as banks often increase limits for high spenders; randomized limit-increase trials would strengthen causal claims</w:t>
      </w:r>
      <w:r w:rsidR="003C6B3E" w:rsidRPr="00405021">
        <w:rPr>
          <w:rFonts w:ascii="Calibri" w:hAnsi="Calibri" w:cs="Calibri"/>
        </w:rPr>
        <w:t xml:space="preserve"> </w:t>
      </w:r>
      <w:sdt>
        <w:sdtPr>
          <w:rPr>
            <w:rFonts w:ascii="Calibri" w:hAnsi="Calibri" w:cs="Calibri"/>
          </w:rPr>
          <w:id w:val="-557940461"/>
          <w:citation/>
        </w:sdtPr>
        <w:sdtEndPr/>
        <w:sdtContent>
          <w:r w:rsidR="003C6B3E" w:rsidRPr="00405021">
            <w:rPr>
              <w:rFonts w:ascii="Calibri" w:hAnsi="Calibri" w:cs="Calibri"/>
            </w:rPr>
            <w:fldChar w:fldCharType="begin"/>
          </w:r>
          <w:r w:rsidR="003C6B3E" w:rsidRPr="00405021">
            <w:rPr>
              <w:rFonts w:ascii="Calibri" w:hAnsi="Calibri" w:cs="Calibri"/>
            </w:rPr>
            <w:instrText xml:space="preserve"> CITATION Roc17 \l 16393 </w:instrText>
          </w:r>
          <w:r w:rsidR="003C6B3E" w:rsidRPr="00405021">
            <w:rPr>
              <w:rFonts w:ascii="Calibri" w:hAnsi="Calibri" w:cs="Calibri"/>
            </w:rPr>
            <w:fldChar w:fldCharType="separate"/>
          </w:r>
          <w:r w:rsidR="00405021" w:rsidRPr="00405021">
            <w:rPr>
              <w:rFonts w:ascii="Calibri" w:hAnsi="Calibri" w:cs="Calibri"/>
              <w:noProof/>
            </w:rPr>
            <w:t>(Chen, et al., 2017)</w:t>
          </w:r>
          <w:r w:rsidR="003C6B3E" w:rsidRPr="00405021">
            <w:rPr>
              <w:rFonts w:ascii="Calibri" w:hAnsi="Calibri" w:cs="Calibri"/>
            </w:rPr>
            <w:fldChar w:fldCharType="end"/>
          </w:r>
        </w:sdtContent>
      </w:sdt>
      <w:r w:rsidRPr="00405021">
        <w:rPr>
          <w:rFonts w:ascii="Calibri" w:hAnsi="Calibri" w:cs="Calibri"/>
        </w:rPr>
        <w:t>.</w:t>
      </w:r>
    </w:p>
    <w:p w14:paraId="61F55101" w14:textId="77777777" w:rsidR="00631082" w:rsidRPr="00405021" w:rsidRDefault="00631082" w:rsidP="00631082">
      <w:pPr>
        <w:pStyle w:val="Heading2"/>
        <w:rPr>
          <w:rFonts w:ascii="Calibri" w:hAnsi="Calibri" w:cs="Calibri"/>
        </w:rPr>
      </w:pPr>
      <w:bookmarkStart w:id="16" w:name="_Toc197375889"/>
      <w:r w:rsidRPr="00405021">
        <w:rPr>
          <w:rFonts w:ascii="Calibri" w:hAnsi="Calibri" w:cs="Calibri"/>
        </w:rPr>
        <w:t>2 | Interactive Logistic Model</w:t>
      </w:r>
      <w:bookmarkEnd w:id="16"/>
    </w:p>
    <w:p w14:paraId="1B31730D" w14:textId="77777777" w:rsidR="00631082" w:rsidRPr="00405021" w:rsidRDefault="00631082" w:rsidP="00631082">
      <w:pPr>
        <w:pStyle w:val="whitespace-pre-wrap"/>
        <w:rPr>
          <w:rFonts w:ascii="Calibri" w:hAnsi="Calibri" w:cs="Calibri"/>
        </w:rPr>
      </w:pPr>
      <w:r w:rsidRPr="00405021">
        <w:rPr>
          <w:rStyle w:val="Emphasis"/>
          <w:rFonts w:ascii="Calibri" w:eastAsiaTheme="majorEastAsia" w:hAnsi="Calibri" w:cs="Calibri"/>
        </w:rPr>
        <w:t>Hypothesis H₂:</w:t>
      </w:r>
      <w:r w:rsidRPr="00405021">
        <w:rPr>
          <w:rFonts w:ascii="Calibri" w:hAnsi="Calibri" w:cs="Calibri"/>
        </w:rPr>
        <w:t xml:space="preserve"> </w:t>
      </w:r>
      <w:r w:rsidRPr="00405021">
        <w:rPr>
          <w:rStyle w:val="Strong"/>
          <w:rFonts w:ascii="Calibri" w:eastAsiaTheme="majorEastAsia" w:hAnsi="Calibri" w:cs="Calibri"/>
          <w:b w:val="0"/>
          <w:bCs w:val="0"/>
        </w:rPr>
        <w:t>β₃ &lt; 0</w:t>
      </w:r>
      <w:r w:rsidRPr="00405021">
        <w:rPr>
          <w:rFonts w:ascii="Calibri" w:hAnsi="Calibri" w:cs="Calibri"/>
        </w:rPr>
        <w:t xml:space="preserve"> for utilization × limit interaction, suggesting utilization reduces churn only with sufficient credit headroom.</w:t>
      </w:r>
    </w:p>
    <w:p w14:paraId="53176B79" w14:textId="3EE41BDD"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Theory:</w:t>
      </w:r>
      <w:r w:rsidRPr="00405021">
        <w:rPr>
          <w:rFonts w:ascii="Calibri" w:hAnsi="Calibri" w:cs="Calibri"/>
        </w:rPr>
        <w:t xml:space="preserve"> Switching-cost literature identifies a "constraint-release" phenomenon: moderate balances on high limits create lock-in, while maxed-out low limits trigger competitor shopping</w:t>
      </w:r>
      <w:sdt>
        <w:sdtPr>
          <w:rPr>
            <w:rFonts w:ascii="Calibri" w:hAnsi="Calibri" w:cs="Calibri"/>
          </w:rPr>
          <w:id w:val="-1044522210"/>
          <w:citation/>
        </w:sdtPr>
        <w:sdtEndPr/>
        <w:sdtContent>
          <w:r w:rsidR="00D72BE0" w:rsidRPr="00405021">
            <w:rPr>
              <w:rFonts w:ascii="Calibri" w:hAnsi="Calibri" w:cs="Calibri"/>
            </w:rPr>
            <w:fldChar w:fldCharType="begin"/>
          </w:r>
          <w:r w:rsidR="00D72BE0" w:rsidRPr="00405021">
            <w:rPr>
              <w:rFonts w:ascii="Calibri" w:hAnsi="Calibri" w:cs="Calibri"/>
            </w:rPr>
            <w:instrText xml:space="preserve"> CITATION Dra98 \l 16393 </w:instrText>
          </w:r>
          <w:r w:rsidR="00D72BE0" w:rsidRPr="00405021">
            <w:rPr>
              <w:rFonts w:ascii="Calibri" w:hAnsi="Calibri" w:cs="Calibri"/>
            </w:rPr>
            <w:fldChar w:fldCharType="separate"/>
          </w:r>
          <w:r w:rsidR="00405021" w:rsidRPr="00405021">
            <w:rPr>
              <w:rFonts w:ascii="Calibri" w:hAnsi="Calibri" w:cs="Calibri"/>
              <w:noProof/>
            </w:rPr>
            <w:t xml:space="preserve"> (Prelec &amp; Loewenstein, 1998)</w:t>
          </w:r>
          <w:r w:rsidR="00D72BE0" w:rsidRPr="00405021">
            <w:rPr>
              <w:rFonts w:ascii="Calibri" w:hAnsi="Calibri" w:cs="Calibri"/>
            </w:rPr>
            <w:fldChar w:fldCharType="end"/>
          </w:r>
        </w:sdtContent>
      </w:sdt>
      <w:r w:rsidRPr="00405021">
        <w:rPr>
          <w:rFonts w:ascii="Calibri" w:hAnsi="Calibri" w:cs="Calibri"/>
        </w:rPr>
        <w:t>.</w:t>
      </w:r>
    </w:p>
    <w:p w14:paraId="4482F22C" w14:textId="77777777"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Statistical impact:</w:t>
      </w:r>
      <w:r w:rsidRPr="00405021">
        <w:rPr>
          <w:rFonts w:ascii="Calibri" w:hAnsi="Calibri" w:cs="Calibri"/>
        </w:rPr>
        <w:t xml:space="preserve"> The interaction term reduces AIC by ~260 and improves AUC from 0.82 to 0.87 while maintaining parsimony (VIF &lt; 2). Marginal effects yield a practical rule—increase limits when current limit ≥ $3,000 and utilization &lt; 80%.</w:t>
      </w:r>
    </w:p>
    <w:p w14:paraId="6E916D6E" w14:textId="55912FD2"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Limitation:</w:t>
      </w:r>
      <w:r w:rsidRPr="00405021">
        <w:rPr>
          <w:rFonts w:ascii="Calibri" w:hAnsi="Calibri" w:cs="Calibri"/>
        </w:rPr>
        <w:t xml:space="preserve"> Analysis assumes utilization is ex</w:t>
      </w:r>
      <w:r w:rsidR="007C2134" w:rsidRPr="00405021">
        <w:rPr>
          <w:rFonts w:ascii="Calibri" w:hAnsi="Calibri" w:cs="Calibri"/>
        </w:rPr>
        <w:t>ternal</w:t>
      </w:r>
      <w:r w:rsidRPr="00405021">
        <w:rPr>
          <w:rFonts w:ascii="Calibri" w:hAnsi="Calibri" w:cs="Calibri"/>
        </w:rPr>
        <w:t>; instrumental-variable or panel methods could address potential simultaneity.</w:t>
      </w:r>
    </w:p>
    <w:p w14:paraId="5C2000EE" w14:textId="77777777" w:rsidR="00631082" w:rsidRPr="00405021" w:rsidRDefault="00631082" w:rsidP="00631082">
      <w:pPr>
        <w:pStyle w:val="Heading2"/>
        <w:rPr>
          <w:rFonts w:ascii="Calibri" w:hAnsi="Calibri" w:cs="Calibri"/>
        </w:rPr>
      </w:pPr>
      <w:bookmarkStart w:id="17" w:name="_Toc197375890"/>
      <w:r w:rsidRPr="00405021">
        <w:rPr>
          <w:rFonts w:ascii="Calibri" w:hAnsi="Calibri" w:cs="Calibri"/>
        </w:rPr>
        <w:t>3 | Random Forest Classifier</w:t>
      </w:r>
      <w:bookmarkEnd w:id="17"/>
    </w:p>
    <w:p w14:paraId="52D0A0EC" w14:textId="77777777" w:rsidR="00631082" w:rsidRPr="00405021" w:rsidRDefault="00631082" w:rsidP="00631082">
      <w:pPr>
        <w:pStyle w:val="whitespace-pre-wrap"/>
        <w:rPr>
          <w:rFonts w:ascii="Calibri" w:hAnsi="Calibri" w:cs="Calibri"/>
        </w:rPr>
      </w:pPr>
      <w:r w:rsidRPr="00405021">
        <w:rPr>
          <w:rStyle w:val="Emphasis"/>
          <w:rFonts w:ascii="Calibri" w:eastAsiaTheme="majorEastAsia" w:hAnsi="Calibri" w:cs="Calibri"/>
        </w:rPr>
        <w:t>Hypothesis H₃:</w:t>
      </w:r>
      <w:r w:rsidRPr="00405021">
        <w:rPr>
          <w:rFonts w:ascii="Calibri" w:hAnsi="Calibri" w:cs="Calibri"/>
        </w:rPr>
        <w:t xml:space="preserve"> Tree ensembles capturing high-order interactions will outperform logistic models on recall and AUC.</w:t>
      </w:r>
    </w:p>
    <w:p w14:paraId="28BA5E3E" w14:textId="77777777"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lastRenderedPageBreak/>
        <w:t>Results:</w:t>
      </w:r>
      <w:r w:rsidRPr="00405021">
        <w:rPr>
          <w:rFonts w:ascii="Calibri" w:hAnsi="Calibri" w:cs="Calibri"/>
        </w:rPr>
        <w:t xml:space="preserve"> Five-fold CV optimizes with </w:t>
      </w:r>
      <w:r w:rsidRPr="00405021">
        <w:rPr>
          <w:rStyle w:val="Emphasis"/>
          <w:rFonts w:ascii="Calibri" w:eastAsiaTheme="majorEastAsia" w:hAnsi="Calibri" w:cs="Calibri"/>
        </w:rPr>
        <w:t>mtry</w:t>
      </w:r>
      <w:r w:rsidRPr="00405021">
        <w:rPr>
          <w:rFonts w:ascii="Calibri" w:hAnsi="Calibri" w:cs="Calibri"/>
        </w:rPr>
        <w:t xml:space="preserve"> = 3; achieving OOB AUC = 1.00, recall = 1.00, precision = 0.91. Variable importance confirms behavioral hypotheses—months inactive, transaction count, and utilization are key predictors.</w:t>
      </w:r>
    </w:p>
    <w:p w14:paraId="10BE4891" w14:textId="37CB6391"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Limitation:</w:t>
      </w:r>
      <w:r w:rsidRPr="00405021">
        <w:rPr>
          <w:rFonts w:ascii="Calibri" w:hAnsi="Calibri" w:cs="Calibri"/>
        </w:rPr>
        <w:t xml:space="preserve"> Perfect discrimination suggests potential overfitting despite cross-validation; holdout validation or SHAP-based stability tests are recommended</w:t>
      </w:r>
      <w:sdt>
        <w:sdtPr>
          <w:rPr>
            <w:rFonts w:ascii="Calibri" w:hAnsi="Calibri" w:cs="Calibri"/>
          </w:rPr>
          <w:id w:val="-1402973900"/>
          <w:citation/>
        </w:sdtPr>
        <w:sdtEndPr/>
        <w:sdtContent>
          <w:r w:rsidR="00EF1B63" w:rsidRPr="00405021">
            <w:rPr>
              <w:rFonts w:ascii="Calibri" w:hAnsi="Calibri" w:cs="Calibri"/>
            </w:rPr>
            <w:fldChar w:fldCharType="begin"/>
          </w:r>
          <w:r w:rsidR="00EF1B63" w:rsidRPr="00405021">
            <w:rPr>
              <w:rFonts w:ascii="Calibri" w:hAnsi="Calibri" w:cs="Calibri"/>
            </w:rPr>
            <w:instrText xml:space="preserve"> CITATION Vin22 \l 16393 </w:instrText>
          </w:r>
          <w:r w:rsidR="00EF1B63" w:rsidRPr="00405021">
            <w:rPr>
              <w:rFonts w:ascii="Calibri" w:hAnsi="Calibri" w:cs="Calibri"/>
            </w:rPr>
            <w:fldChar w:fldCharType="separate"/>
          </w:r>
          <w:r w:rsidR="00405021" w:rsidRPr="00405021">
            <w:rPr>
              <w:rFonts w:ascii="Calibri" w:hAnsi="Calibri" w:cs="Calibri"/>
              <w:noProof/>
            </w:rPr>
            <w:t xml:space="preserve"> (Trevisan, 2022)</w:t>
          </w:r>
          <w:r w:rsidR="00EF1B63" w:rsidRPr="00405021">
            <w:rPr>
              <w:rFonts w:ascii="Calibri" w:hAnsi="Calibri" w:cs="Calibri"/>
            </w:rPr>
            <w:fldChar w:fldCharType="end"/>
          </w:r>
        </w:sdtContent>
      </w:sdt>
      <w:r w:rsidRPr="00405021">
        <w:rPr>
          <w:rFonts w:ascii="Calibri" w:hAnsi="Calibri" w:cs="Calibri"/>
        </w:rPr>
        <w:t>.</w:t>
      </w:r>
    </w:p>
    <w:p w14:paraId="6EF2A68F" w14:textId="1F1A6718" w:rsidR="00631082" w:rsidRPr="00405021" w:rsidRDefault="00631082" w:rsidP="00631082">
      <w:pPr>
        <w:pStyle w:val="whitespace-pre-wrap"/>
        <w:rPr>
          <w:rFonts w:ascii="Calibri" w:hAnsi="Calibri" w:cs="Calibri"/>
        </w:rPr>
      </w:pPr>
      <w:r w:rsidRPr="00405021">
        <w:rPr>
          <w:rStyle w:val="Strong"/>
          <w:rFonts w:ascii="Calibri" w:eastAsiaTheme="majorEastAsia" w:hAnsi="Calibri" w:cs="Calibri"/>
          <w:b w:val="0"/>
          <w:bCs w:val="0"/>
        </w:rPr>
        <w:t>Integrated Application:</w:t>
      </w:r>
      <w:r w:rsidRPr="00405021">
        <w:rPr>
          <w:rFonts w:ascii="Calibri" w:hAnsi="Calibri" w:cs="Calibri"/>
        </w:rPr>
        <w:t xml:space="preserve"> This trio delivers a comprehensive "size–timing–target" strategy: OLS quantifies revenue opportunity, interaction </w:t>
      </w:r>
      <w:r w:rsidR="00EF1B63" w:rsidRPr="00405021">
        <w:rPr>
          <w:rFonts w:ascii="Calibri" w:hAnsi="Calibri" w:cs="Calibri"/>
        </w:rPr>
        <w:t>modelling</w:t>
      </w:r>
      <w:r w:rsidRPr="00405021">
        <w:rPr>
          <w:rFonts w:ascii="Calibri" w:hAnsi="Calibri" w:cs="Calibri"/>
        </w:rPr>
        <w:t xml:space="preserve"> optimizes capacity timing, and RF identifies priority accounts for intervention.</w:t>
      </w:r>
    </w:p>
    <w:p w14:paraId="11360CF6" w14:textId="2A196BE5" w:rsidR="00E954BB" w:rsidRPr="00405021" w:rsidRDefault="00E954BB" w:rsidP="002440CA">
      <w:pPr>
        <w:pStyle w:val="NormalWeb"/>
        <w:rPr>
          <w:rFonts w:ascii="Calibri" w:hAnsi="Calibri" w:cs="Calibri"/>
        </w:rPr>
      </w:pPr>
    </w:p>
    <w:p w14:paraId="7F0B8AD9" w14:textId="1C5CD9B7" w:rsidR="00EC187C" w:rsidRPr="00405021" w:rsidRDefault="00EC187C" w:rsidP="00816EEC">
      <w:pPr>
        <w:pStyle w:val="Heading1"/>
        <w:rPr>
          <w:rFonts w:ascii="Calibri" w:hAnsi="Calibri" w:cs="Calibri"/>
        </w:rPr>
      </w:pPr>
      <w:bookmarkStart w:id="18" w:name="_Toc197375891"/>
      <w:r w:rsidRPr="00405021">
        <w:rPr>
          <w:rFonts w:ascii="Calibri" w:hAnsi="Calibri" w:cs="Calibri"/>
        </w:rPr>
        <w:t>Statistical modelling and interpretation</w:t>
      </w:r>
      <w:bookmarkEnd w:id="18"/>
    </w:p>
    <w:p w14:paraId="0B28C101" w14:textId="77777777" w:rsidR="009D72F7" w:rsidRPr="00405021" w:rsidRDefault="009D72F7" w:rsidP="00816EEC">
      <w:pPr>
        <w:pStyle w:val="Heading2"/>
        <w:rPr>
          <w:rFonts w:ascii="Calibri" w:hAnsi="Calibri" w:cs="Calibri"/>
        </w:rPr>
      </w:pPr>
      <w:bookmarkStart w:id="19" w:name="_Toc197375892"/>
      <w:r w:rsidRPr="00405021">
        <w:rPr>
          <w:rFonts w:ascii="Calibri" w:hAnsi="Calibri" w:cs="Calibri"/>
        </w:rPr>
        <w:t>Model A: Linear Spend Analysis</w:t>
      </w:r>
      <w:bookmarkEnd w:id="19"/>
    </w:p>
    <w:p w14:paraId="3580FD49" w14:textId="77777777" w:rsidR="009D72F7" w:rsidRPr="00405021" w:rsidRDefault="009D72F7" w:rsidP="009D72F7">
      <w:pPr>
        <w:pStyle w:val="NormalWeb"/>
        <w:rPr>
          <w:rFonts w:ascii="Calibri" w:hAnsi="Calibri" w:cs="Calibri"/>
        </w:rPr>
      </w:pPr>
      <w:r w:rsidRPr="00405021">
        <w:rPr>
          <w:rStyle w:val="Strong"/>
          <w:rFonts w:ascii="Calibri" w:eastAsiaTheme="majorEastAsia" w:hAnsi="Calibri" w:cs="Calibri"/>
          <w:b w:val="0"/>
          <w:bCs w:val="0"/>
        </w:rPr>
        <w:t>Research Focus:</w:t>
      </w:r>
      <w:r w:rsidRPr="00405021">
        <w:rPr>
          <w:rFonts w:ascii="Calibri" w:hAnsi="Calibri" w:cs="Calibri"/>
        </w:rPr>
        <w:t xml:space="preserve"> Measuring the independent effects of credit capacity (</w:t>
      </w:r>
      <w:r w:rsidRPr="00405021">
        <w:rPr>
          <w:rStyle w:val="Emphasis"/>
          <w:rFonts w:ascii="Calibri" w:eastAsiaTheme="majorEastAsia" w:hAnsi="Calibri" w:cs="Calibri"/>
          <w:i w:val="0"/>
          <w:iCs w:val="0"/>
        </w:rPr>
        <w:t>credit_limit</w:t>
      </w:r>
      <w:r w:rsidRPr="00405021">
        <w:rPr>
          <w:rFonts w:ascii="Calibri" w:hAnsi="Calibri" w:cs="Calibri"/>
        </w:rPr>
        <w:t>) and engagement recency (</w:t>
      </w:r>
      <w:r w:rsidRPr="00405021">
        <w:rPr>
          <w:rStyle w:val="Emphasis"/>
          <w:rFonts w:ascii="Calibri" w:eastAsiaTheme="majorEastAsia" w:hAnsi="Calibri" w:cs="Calibri"/>
          <w:i w:val="0"/>
          <w:iCs w:val="0"/>
        </w:rPr>
        <w:t>months_inactive_12_mon</w:t>
      </w:r>
      <w:r w:rsidRPr="00405021">
        <w:rPr>
          <w:rFonts w:ascii="Calibri" w:hAnsi="Calibri" w:cs="Calibri"/>
        </w:rPr>
        <w:t>) on annual purchase volume.</w:t>
      </w:r>
    </w:p>
    <w:p w14:paraId="30819CA8" w14:textId="6F283A33" w:rsidR="009D72F7" w:rsidRPr="00405021" w:rsidRDefault="009D72F7" w:rsidP="009D72F7">
      <w:pPr>
        <w:pStyle w:val="NormalWeb"/>
        <w:rPr>
          <w:rFonts w:ascii="Calibri" w:hAnsi="Calibri" w:cs="Calibri"/>
        </w:rPr>
      </w:pPr>
      <w:r w:rsidRPr="00405021">
        <w:rPr>
          <w:rStyle w:val="Strong"/>
          <w:rFonts w:ascii="Calibri" w:eastAsiaTheme="majorEastAsia" w:hAnsi="Calibri" w:cs="Calibri"/>
          <w:b w:val="0"/>
          <w:bCs w:val="0"/>
        </w:rPr>
        <w:t>Key Findings:</w:t>
      </w:r>
      <w:r w:rsidRPr="00405021">
        <w:rPr>
          <w:rFonts w:ascii="Calibri" w:hAnsi="Calibri" w:cs="Calibri"/>
        </w:rPr>
        <w:t xml:space="preserve"> Analysis reveals both predictors are statistically significant with substantial economic impacts. Each additional $1,000 in credit limit generates approximately $42 in additional annual spend (p &lt; .001), while each inactive month reduces annual spend by $103 (p = .002). The </w:t>
      </w:r>
      <w:r w:rsidR="000C50E3" w:rsidRPr="00405021">
        <w:rPr>
          <w:rFonts w:ascii="Calibri" w:hAnsi="Calibri" w:cs="Calibri"/>
        </w:rPr>
        <w:t>cost-conscious</w:t>
      </w:r>
      <w:r w:rsidRPr="00405021">
        <w:rPr>
          <w:rFonts w:ascii="Calibri" w:hAnsi="Calibri" w:cs="Calibri"/>
        </w:rPr>
        <w:t xml:space="preserve"> model accounts for 67% of spend variance when behavioral variables are included (Model B comparison), confirming that capacity and engagement represent core spending drivers, complemented by transaction frequency metrics</w:t>
      </w:r>
      <w:r w:rsidR="00770764" w:rsidRPr="00405021">
        <w:rPr>
          <w:rFonts w:ascii="Calibri" w:hAnsi="Calibri" w:cs="Calibri"/>
        </w:rPr>
        <w:t xml:space="preserve"> </w:t>
      </w:r>
      <w:sdt>
        <w:sdtPr>
          <w:rPr>
            <w:rFonts w:ascii="Calibri" w:hAnsi="Calibri" w:cs="Calibri"/>
          </w:rPr>
          <w:id w:val="2026445022"/>
          <w:citation/>
        </w:sdtPr>
        <w:sdtEndPr/>
        <w:sdtContent>
          <w:r w:rsidR="00770764" w:rsidRPr="00405021">
            <w:rPr>
              <w:rFonts w:ascii="Calibri" w:hAnsi="Calibri" w:cs="Calibri"/>
            </w:rPr>
            <w:fldChar w:fldCharType="begin"/>
          </w:r>
          <w:r w:rsidR="00770764" w:rsidRPr="00405021">
            <w:rPr>
              <w:rFonts w:ascii="Calibri" w:hAnsi="Calibri" w:cs="Calibri"/>
            </w:rPr>
            <w:instrText xml:space="preserve"> CITATION Bro99 \l 16393 </w:instrText>
          </w:r>
          <w:r w:rsidR="00770764" w:rsidRPr="00405021">
            <w:rPr>
              <w:rFonts w:ascii="Calibri" w:hAnsi="Calibri" w:cs="Calibri"/>
            </w:rPr>
            <w:fldChar w:fldCharType="separate"/>
          </w:r>
          <w:r w:rsidR="00405021" w:rsidRPr="00405021">
            <w:rPr>
              <w:rFonts w:ascii="Calibri" w:hAnsi="Calibri" w:cs="Calibri"/>
              <w:noProof/>
            </w:rPr>
            <w:t>(Brochard, et al., 1999)</w:t>
          </w:r>
          <w:r w:rsidR="00770764" w:rsidRPr="00405021">
            <w:rPr>
              <w:rFonts w:ascii="Calibri" w:hAnsi="Calibri" w:cs="Calibri"/>
            </w:rPr>
            <w:fldChar w:fldCharType="end"/>
          </w:r>
        </w:sdtContent>
      </w:sdt>
      <w:r w:rsidRPr="00405021">
        <w:rPr>
          <w:rFonts w:ascii="Calibri" w:hAnsi="Calibri" w:cs="Calibri"/>
        </w:rPr>
        <w:t xml:space="preserve">. Post-transformation diagnostic plots confirm appropriate error distribution, and variance inflation factors around </w:t>
      </w:r>
      <w:r w:rsidR="00F25C2C" w:rsidRPr="00405021">
        <w:rPr>
          <w:rFonts w:ascii="Calibri" w:hAnsi="Calibri" w:cs="Calibri"/>
        </w:rPr>
        <w:t>(</w:t>
      </w:r>
      <w:r w:rsidRPr="00405021">
        <w:rPr>
          <w:rFonts w:ascii="Calibri" w:hAnsi="Calibri" w:cs="Calibri"/>
        </w:rPr>
        <w:t>1.9</w:t>
      </w:r>
      <w:r w:rsidR="00F25C2C" w:rsidRPr="00405021">
        <w:rPr>
          <w:rFonts w:ascii="Calibri" w:hAnsi="Calibri" w:cs="Calibri"/>
        </w:rPr>
        <w:t>)</w:t>
      </w:r>
      <w:r w:rsidRPr="00405021">
        <w:rPr>
          <w:rFonts w:ascii="Calibri" w:hAnsi="Calibri" w:cs="Calibri"/>
        </w:rPr>
        <w:t xml:space="preserve"> eliminate multicollinearity concerns.</w:t>
      </w:r>
    </w:p>
    <w:p w14:paraId="7763A947" w14:textId="77777777" w:rsidR="009D72F7" w:rsidRPr="00405021" w:rsidRDefault="009D72F7" w:rsidP="009D72F7">
      <w:pPr>
        <w:pStyle w:val="NormalWeb"/>
        <w:rPr>
          <w:rFonts w:ascii="Calibri" w:hAnsi="Calibri" w:cs="Calibri"/>
        </w:rPr>
      </w:pPr>
      <w:r w:rsidRPr="00405021">
        <w:rPr>
          <w:rStyle w:val="Strong"/>
          <w:rFonts w:ascii="Calibri" w:eastAsiaTheme="majorEastAsia" w:hAnsi="Calibri" w:cs="Calibri"/>
          <w:b w:val="0"/>
          <w:bCs w:val="0"/>
        </w:rPr>
        <w:t>Business Applications:</w:t>
      </w:r>
      <w:r w:rsidRPr="00405021">
        <w:rPr>
          <w:rFonts w:ascii="Calibri" w:hAnsi="Calibri" w:cs="Calibri"/>
        </w:rPr>
        <w:t xml:space="preserve"> This model delivers two actionable levers for revenue enhancement:</w:t>
      </w:r>
    </w:p>
    <w:p w14:paraId="4561F73D" w14:textId="77777777" w:rsidR="009D72F7" w:rsidRPr="00405021" w:rsidRDefault="009D72F7" w:rsidP="009D72F7">
      <w:pPr>
        <w:numPr>
          <w:ilvl w:val="0"/>
          <w:numId w:val="13"/>
        </w:numPr>
        <w:spacing w:before="100" w:beforeAutospacing="1" w:after="100" w:afterAutospacing="1" w:line="240" w:lineRule="auto"/>
        <w:rPr>
          <w:rFonts w:ascii="Calibri" w:hAnsi="Calibri" w:cs="Calibri"/>
        </w:rPr>
      </w:pPr>
      <w:r w:rsidRPr="00405021">
        <w:rPr>
          <w:rStyle w:val="Strong"/>
          <w:rFonts w:ascii="Calibri" w:hAnsi="Calibri" w:cs="Calibri"/>
          <w:b w:val="0"/>
          <w:bCs w:val="0"/>
        </w:rPr>
        <w:t>Capacity Strategy:</w:t>
      </w:r>
      <w:r w:rsidRPr="00405021">
        <w:rPr>
          <w:rFonts w:ascii="Calibri" w:hAnsi="Calibri" w:cs="Calibri"/>
        </w:rPr>
        <w:t xml:space="preserve"> A strategic $2,000 credit line increase produces an expected $84 in additional annual spend, exceeding the incremental capital cost at standard 12% APR for revolving balances.</w:t>
      </w:r>
    </w:p>
    <w:p w14:paraId="5A56AF1B" w14:textId="77777777" w:rsidR="009D72F7" w:rsidRPr="00405021" w:rsidRDefault="009D72F7" w:rsidP="009D72F7">
      <w:pPr>
        <w:numPr>
          <w:ilvl w:val="0"/>
          <w:numId w:val="13"/>
        </w:numPr>
        <w:spacing w:before="100" w:beforeAutospacing="1" w:after="100" w:afterAutospacing="1" w:line="240" w:lineRule="auto"/>
        <w:rPr>
          <w:rFonts w:ascii="Calibri" w:hAnsi="Calibri" w:cs="Calibri"/>
        </w:rPr>
      </w:pPr>
      <w:r w:rsidRPr="00405021">
        <w:rPr>
          <w:rStyle w:val="Strong"/>
          <w:rFonts w:ascii="Calibri" w:hAnsi="Calibri" w:cs="Calibri"/>
          <w:b w:val="0"/>
          <w:bCs w:val="0"/>
        </w:rPr>
        <w:t>Engagement Tactic:</w:t>
      </w:r>
      <w:r w:rsidRPr="00405021">
        <w:rPr>
          <w:rFonts w:ascii="Calibri" w:hAnsi="Calibri" w:cs="Calibri"/>
        </w:rPr>
        <w:t xml:space="preserve"> Just two months of inactivity reduces expected spend by $206—nearly eliminating the entire annual interchange margin for mid-tier customers. This justifies proactive engagement campaigns costing less than $1 per customer contact.</w:t>
      </w:r>
    </w:p>
    <w:p w14:paraId="60B23BE5" w14:textId="2F090230" w:rsidR="00094396" w:rsidRPr="00405021" w:rsidRDefault="00094396" w:rsidP="00094396">
      <w:pPr>
        <w:spacing w:before="100" w:beforeAutospacing="1" w:after="100" w:afterAutospacing="1" w:line="240" w:lineRule="auto"/>
        <w:rPr>
          <w:rFonts w:ascii="Calibri" w:eastAsia="Times New Roman" w:hAnsi="Calibri" w:cs="Calibri"/>
          <w:kern w:val="0"/>
          <w:lang w:eastAsia="en-IN"/>
          <w14:ligatures w14:val="none"/>
        </w:rPr>
      </w:pPr>
      <w:r w:rsidRPr="00405021">
        <w:rPr>
          <w:rFonts w:ascii="Calibri" w:eastAsia="Times New Roman" w:hAnsi="Calibri" w:cs="Calibri"/>
          <w:kern w:val="0"/>
          <w:lang w:eastAsia="en-IN"/>
          <w14:ligatures w14:val="none"/>
        </w:rPr>
        <w:t xml:space="preserve">Table </w:t>
      </w:r>
      <w:r w:rsidR="008319A3" w:rsidRPr="00405021">
        <w:rPr>
          <w:rFonts w:ascii="Calibri" w:eastAsia="Times New Roman" w:hAnsi="Calibri" w:cs="Calibri"/>
          <w:kern w:val="0"/>
          <w:lang w:eastAsia="en-IN"/>
          <w14:ligatures w14:val="none"/>
        </w:rPr>
        <w:t>3</w:t>
      </w:r>
      <w:r w:rsidRPr="00405021">
        <w:rPr>
          <w:rFonts w:ascii="Calibri" w:eastAsia="Times New Roman" w:hAnsi="Calibri" w:cs="Calibri"/>
          <w:kern w:val="0"/>
          <w:lang w:eastAsia="en-IN"/>
          <w14:ligatures w14:val="none"/>
        </w:rPr>
        <w:t xml:space="preserve"> lists coefficients with robust </w:t>
      </w:r>
      <w:r w:rsidR="00BE0461" w:rsidRPr="00405021">
        <w:rPr>
          <w:rFonts w:ascii="Calibri" w:eastAsia="Times New Roman" w:hAnsi="Calibri" w:cs="Calibri"/>
          <w:kern w:val="0"/>
          <w:lang w:eastAsia="en-IN"/>
          <w14:ligatures w14:val="none"/>
        </w:rPr>
        <w:t>standard error(</w:t>
      </w:r>
      <w:r w:rsidRPr="00405021">
        <w:rPr>
          <w:rFonts w:ascii="Calibri" w:eastAsia="Times New Roman" w:hAnsi="Calibri" w:cs="Calibri"/>
          <w:kern w:val="0"/>
          <w:lang w:eastAsia="en-IN"/>
          <w14:ligatures w14:val="none"/>
        </w:rPr>
        <w:t>s.e.</w:t>
      </w:r>
      <w:r w:rsidR="00BE0461" w:rsidRPr="00405021">
        <w:rPr>
          <w:rFonts w:ascii="Calibri" w:eastAsia="Times New Roman" w:hAnsi="Calibri" w:cs="Calibri"/>
          <w:kern w:val="0"/>
          <w:lang w:eastAsia="en-IN"/>
          <w14:ligatures w14:val="none"/>
        </w:rPr>
        <w:t>)</w:t>
      </w:r>
      <w:r w:rsidRPr="00405021">
        <w:rPr>
          <w:rFonts w:ascii="Calibri" w:eastAsia="Times New Roman" w:hAnsi="Calibri" w:cs="Calibri"/>
          <w:kern w:val="0"/>
          <w:lang w:eastAsia="en-IN"/>
          <w14:ligatures w14:val="none"/>
        </w:rPr>
        <w:t xml:space="preserve">; Figure </w:t>
      </w:r>
      <w:r w:rsidR="008319A3" w:rsidRPr="00405021">
        <w:rPr>
          <w:rFonts w:ascii="Calibri" w:eastAsia="Times New Roman" w:hAnsi="Calibri" w:cs="Calibri"/>
          <w:kern w:val="0"/>
          <w:lang w:eastAsia="en-IN"/>
          <w14:ligatures w14:val="none"/>
        </w:rPr>
        <w:t>9</w:t>
      </w:r>
      <w:r w:rsidRPr="00405021">
        <w:rPr>
          <w:rFonts w:ascii="Calibri" w:eastAsia="Times New Roman" w:hAnsi="Calibri" w:cs="Calibri"/>
          <w:kern w:val="0"/>
          <w:lang w:eastAsia="en-IN"/>
          <w14:ligatures w14:val="none"/>
        </w:rPr>
        <w:t xml:space="preserve"> (residual-vs-fitted) confirms no heteroskedastic fan-out; Breusch–Pagan p = 0.23.</w:t>
      </w:r>
    </w:p>
    <w:p w14:paraId="10B453D8" w14:textId="77777777" w:rsidR="00286F54" w:rsidRPr="00405021" w:rsidRDefault="00286F54" w:rsidP="00094396">
      <w:pPr>
        <w:spacing w:before="100" w:beforeAutospacing="1" w:after="100" w:afterAutospacing="1" w:line="240" w:lineRule="auto"/>
        <w:rPr>
          <w:rFonts w:ascii="Calibri" w:eastAsia="Times New Roman" w:hAnsi="Calibri" w:cs="Calibri"/>
          <w:kern w:val="0"/>
          <w:lang w:eastAsia="en-IN"/>
          <w14:ligatures w14:val="none"/>
        </w:rPr>
      </w:pPr>
    </w:p>
    <w:p w14:paraId="2C70934D" w14:textId="77777777" w:rsidR="00405021" w:rsidRPr="00405021" w:rsidRDefault="00405021" w:rsidP="00094396">
      <w:pPr>
        <w:spacing w:before="100" w:beforeAutospacing="1" w:after="100" w:afterAutospacing="1" w:line="240" w:lineRule="auto"/>
        <w:rPr>
          <w:rFonts w:ascii="Calibri" w:eastAsia="Times New Roman" w:hAnsi="Calibri" w:cs="Calibri"/>
          <w:kern w:val="0"/>
          <w:lang w:eastAsia="en-IN"/>
          <w14:ligatures w14:val="none"/>
        </w:rPr>
      </w:pPr>
    </w:p>
    <w:p w14:paraId="3AADD866" w14:textId="77777777" w:rsidR="00405021" w:rsidRPr="00405021" w:rsidRDefault="00405021" w:rsidP="00094396">
      <w:pPr>
        <w:spacing w:before="100" w:beforeAutospacing="1" w:after="100" w:afterAutospacing="1" w:line="240" w:lineRule="auto"/>
        <w:rPr>
          <w:rFonts w:ascii="Calibri" w:eastAsia="Times New Roman" w:hAnsi="Calibri" w:cs="Calibri"/>
          <w:kern w:val="0"/>
          <w:lang w:eastAsia="en-IN"/>
          <w14:ligatures w14:val="none"/>
        </w:rPr>
      </w:pPr>
    </w:p>
    <w:p w14:paraId="55969D3C" w14:textId="4E436BC1" w:rsidR="00286F54" w:rsidRPr="00405021" w:rsidRDefault="00110D5D" w:rsidP="00452A64">
      <w:pPr>
        <w:pStyle w:val="Caption"/>
        <w:jc w:val="center"/>
        <w:rPr>
          <w:rFonts w:ascii="Calibri" w:eastAsia="Times New Roman" w:hAnsi="Calibri" w:cs="Calibri"/>
          <w:i w:val="0"/>
          <w:iCs w:val="0"/>
          <w:kern w:val="0"/>
          <w:sz w:val="22"/>
          <w:szCs w:val="22"/>
          <w:lang w:eastAsia="en-IN"/>
          <w14:ligatures w14:val="none"/>
        </w:rPr>
      </w:pPr>
      <w:bookmarkStart w:id="20" w:name="_Toc197353906"/>
      <w:r w:rsidRPr="00405021">
        <w:rPr>
          <w:rFonts w:ascii="Calibri" w:hAnsi="Calibri" w:cs="Calibri"/>
          <w:i w:val="0"/>
          <w:iCs w:val="0"/>
          <w:sz w:val="22"/>
          <w:szCs w:val="22"/>
        </w:rPr>
        <w:lastRenderedPageBreak/>
        <w:t xml:space="preserve">Table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Table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3</w:t>
      </w:r>
      <w:r w:rsidRPr="00405021">
        <w:rPr>
          <w:rFonts w:ascii="Calibri" w:hAnsi="Calibri" w:cs="Calibri"/>
          <w:i w:val="0"/>
          <w:iCs w:val="0"/>
          <w:sz w:val="22"/>
          <w:szCs w:val="22"/>
        </w:rPr>
        <w:fldChar w:fldCharType="end"/>
      </w:r>
      <w:r w:rsidRPr="00405021">
        <w:rPr>
          <w:rFonts w:ascii="Calibri" w:hAnsi="Calibri" w:cs="Calibri"/>
          <w:i w:val="0"/>
          <w:iCs w:val="0"/>
          <w:sz w:val="22"/>
          <w:szCs w:val="22"/>
        </w:rPr>
        <w:t>: Linear Regression Results for Annual Spend(Source: Author)</w:t>
      </w:r>
      <w:bookmarkEnd w:id="20"/>
    </w:p>
    <w:p w14:paraId="5670D591" w14:textId="2EDCC1FF" w:rsidR="00FD7BA0" w:rsidRPr="00405021" w:rsidRDefault="00FD7BA0"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660B31BF" wp14:editId="7021D618">
            <wp:extent cx="3913322" cy="1432552"/>
            <wp:effectExtent l="0" t="0" r="0" b="0"/>
            <wp:docPr id="1053501567" name="Picture 7"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01567" name="Picture 7" descr="A table with numbers and letters&#10;&#10;AI-generated content may be incorrect."/>
                    <pic:cNvPicPr/>
                  </pic:nvPicPr>
                  <pic:blipFill rotWithShape="1">
                    <a:blip r:embed="rId22">
                      <a:extLst>
                        <a:ext uri="{28A0092B-C50C-407E-A947-70E740481C1C}">
                          <a14:useLocalDpi xmlns:a14="http://schemas.microsoft.com/office/drawing/2010/main" val="0"/>
                        </a:ext>
                      </a:extLst>
                    </a:blip>
                    <a:srcRect r="23945"/>
                    <a:stretch/>
                  </pic:blipFill>
                  <pic:spPr bwMode="auto">
                    <a:xfrm>
                      <a:off x="0" y="0"/>
                      <a:ext cx="3919625" cy="1434859"/>
                    </a:xfrm>
                    <a:prstGeom prst="rect">
                      <a:avLst/>
                    </a:prstGeom>
                    <a:ln>
                      <a:noFill/>
                    </a:ln>
                    <a:extLst>
                      <a:ext uri="{53640926-AAD7-44D8-BBD7-CCE9431645EC}">
                        <a14:shadowObscured xmlns:a14="http://schemas.microsoft.com/office/drawing/2010/main"/>
                      </a:ext>
                    </a:extLst>
                  </pic:spPr>
                </pic:pic>
              </a:graphicData>
            </a:graphic>
          </wp:inline>
        </w:drawing>
      </w:r>
    </w:p>
    <w:p w14:paraId="7A07F0B2" w14:textId="77777777" w:rsidR="00094396" w:rsidRPr="00405021" w:rsidRDefault="00094396"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kern w:val="0"/>
          <w:lang w:eastAsia="en-IN"/>
          <w14:ligatures w14:val="none"/>
        </w:rPr>
        <w:t>Adj. R² = 0.049; F(6, 10120) = 86.4, p &lt; .001; VIF ≤ 2.1.</w:t>
      </w:r>
    </w:p>
    <w:p w14:paraId="2F7DCA25" w14:textId="77777777" w:rsidR="0071475E" w:rsidRPr="00405021" w:rsidRDefault="0071475E" w:rsidP="00094396">
      <w:pPr>
        <w:spacing w:before="100" w:beforeAutospacing="1" w:after="100" w:afterAutospacing="1" w:line="240" w:lineRule="auto"/>
        <w:rPr>
          <w:rFonts w:ascii="Calibri" w:eastAsia="Times New Roman" w:hAnsi="Calibri" w:cs="Calibri"/>
          <w:kern w:val="0"/>
          <w:lang w:eastAsia="en-IN"/>
          <w14:ligatures w14:val="none"/>
        </w:rPr>
      </w:pPr>
    </w:p>
    <w:p w14:paraId="275046F0" w14:textId="15CCC97F" w:rsidR="00FD7BA0" w:rsidRPr="00405021" w:rsidRDefault="00FD7BA0"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6C5ABB5D" wp14:editId="57457036">
            <wp:extent cx="5731510" cy="2523490"/>
            <wp:effectExtent l="0" t="0" r="2540" b="0"/>
            <wp:docPr id="499904493" name="Picture 2"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4493" name="Picture 2" descr="A group of graphs showing different types of data&#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67CBAAA1" w14:textId="2073F0AE" w:rsidR="00FD7BA0" w:rsidRPr="00405021" w:rsidRDefault="009F10C5" w:rsidP="00452A64">
      <w:pPr>
        <w:pStyle w:val="Caption"/>
        <w:jc w:val="center"/>
        <w:rPr>
          <w:rFonts w:ascii="Calibri" w:hAnsi="Calibri" w:cs="Calibri"/>
          <w:i w:val="0"/>
          <w:iCs w:val="0"/>
          <w:sz w:val="22"/>
          <w:szCs w:val="22"/>
        </w:rPr>
      </w:pPr>
      <w:bookmarkStart w:id="21" w:name="_Toc197353920"/>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9</w:t>
      </w:r>
      <w:r w:rsidRPr="00405021">
        <w:rPr>
          <w:rFonts w:ascii="Calibri" w:hAnsi="Calibri" w:cs="Calibri"/>
          <w:i w:val="0"/>
          <w:iCs w:val="0"/>
          <w:sz w:val="22"/>
          <w:szCs w:val="22"/>
        </w:rPr>
        <w:fldChar w:fldCharType="end"/>
      </w:r>
      <w:r w:rsidRPr="00405021">
        <w:rPr>
          <w:rFonts w:ascii="Calibri" w:hAnsi="Calibri" w:cs="Calibri"/>
          <w:i w:val="0"/>
          <w:iCs w:val="0"/>
          <w:sz w:val="22"/>
          <w:szCs w:val="22"/>
        </w:rPr>
        <w:t>:OLS diagnostic panel (residuals vs fitted, QQ, scale location, leverage) (Source: Author)</w:t>
      </w:r>
      <w:bookmarkEnd w:id="21"/>
    </w:p>
    <w:p w14:paraId="16CF01E4" w14:textId="77777777" w:rsidR="009F10C5" w:rsidRPr="00405021" w:rsidRDefault="009F10C5" w:rsidP="00452A64">
      <w:pPr>
        <w:spacing w:before="100" w:beforeAutospacing="1" w:after="100" w:afterAutospacing="1" w:line="240" w:lineRule="auto"/>
        <w:jc w:val="center"/>
        <w:rPr>
          <w:rFonts w:ascii="Calibri" w:eastAsia="Times New Roman" w:hAnsi="Calibri" w:cs="Calibri"/>
          <w:kern w:val="0"/>
          <w:lang w:eastAsia="en-IN"/>
          <w14:ligatures w14:val="none"/>
        </w:rPr>
      </w:pPr>
    </w:p>
    <w:p w14:paraId="42817075" w14:textId="77777777" w:rsidR="00405021" w:rsidRPr="00405021" w:rsidRDefault="00405021" w:rsidP="00452A64">
      <w:pPr>
        <w:spacing w:before="100" w:beforeAutospacing="1" w:after="100" w:afterAutospacing="1" w:line="240" w:lineRule="auto"/>
        <w:jc w:val="center"/>
        <w:rPr>
          <w:rFonts w:ascii="Calibri" w:eastAsia="Times New Roman" w:hAnsi="Calibri" w:cs="Calibri"/>
          <w:kern w:val="0"/>
          <w:lang w:eastAsia="en-IN"/>
          <w14:ligatures w14:val="none"/>
        </w:rPr>
      </w:pPr>
    </w:p>
    <w:p w14:paraId="29532E8E" w14:textId="331EB43F" w:rsidR="00FD7BA0" w:rsidRPr="00405021" w:rsidRDefault="00FD7BA0"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lastRenderedPageBreak/>
        <w:drawing>
          <wp:inline distT="0" distB="0" distL="0" distR="0" wp14:anchorId="3BF5ABBB" wp14:editId="203F8C60">
            <wp:extent cx="5731510" cy="2523490"/>
            <wp:effectExtent l="0" t="0" r="2540" b="0"/>
            <wp:docPr id="1044804800" name="Picture 3" descr="A graph showing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4800" name="Picture 3" descr="A graph showing a number of blue dot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19944C8C" w14:textId="232686D5" w:rsidR="00FD7BA0" w:rsidRPr="00405021" w:rsidRDefault="009F10C5" w:rsidP="00452A64">
      <w:pPr>
        <w:pStyle w:val="Caption"/>
        <w:jc w:val="center"/>
        <w:rPr>
          <w:rFonts w:ascii="Calibri" w:eastAsia="Times New Roman" w:hAnsi="Calibri" w:cs="Calibri"/>
          <w:i w:val="0"/>
          <w:iCs w:val="0"/>
          <w:kern w:val="0"/>
          <w:sz w:val="22"/>
          <w:szCs w:val="22"/>
          <w:lang w:eastAsia="en-IN"/>
          <w14:ligatures w14:val="none"/>
        </w:rPr>
      </w:pPr>
      <w:bookmarkStart w:id="22" w:name="_Toc197353921"/>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10</w:t>
      </w:r>
      <w:r w:rsidRPr="00405021">
        <w:rPr>
          <w:rFonts w:ascii="Calibri" w:hAnsi="Calibri" w:cs="Calibri"/>
          <w:i w:val="0"/>
          <w:iCs w:val="0"/>
          <w:sz w:val="22"/>
          <w:szCs w:val="22"/>
        </w:rPr>
        <w:fldChar w:fldCharType="end"/>
      </w:r>
      <w:r w:rsidRPr="00405021">
        <w:rPr>
          <w:rFonts w:ascii="Calibri" w:hAnsi="Calibri" w:cs="Calibri"/>
          <w:i w:val="0"/>
          <w:iCs w:val="0"/>
          <w:sz w:val="22"/>
          <w:szCs w:val="22"/>
        </w:rPr>
        <w:t>: Actual vs Predicted spend scatter(Source: Author)</w:t>
      </w:r>
      <w:bookmarkEnd w:id="22"/>
    </w:p>
    <w:p w14:paraId="59A0334B" w14:textId="7AE466FF" w:rsidR="00DF6F22" w:rsidRPr="00405021" w:rsidRDefault="00DF6F22" w:rsidP="00816EEC">
      <w:pPr>
        <w:pStyle w:val="Heading2"/>
        <w:rPr>
          <w:rFonts w:ascii="Calibri" w:hAnsi="Calibri" w:cs="Calibri"/>
        </w:rPr>
      </w:pPr>
      <w:r w:rsidRPr="00405021">
        <w:rPr>
          <w:rFonts w:ascii="Calibri" w:eastAsia="Times New Roman" w:hAnsi="Calibri" w:cs="Calibri"/>
          <w:kern w:val="0"/>
          <w:lang w:eastAsia="en-IN"/>
          <w14:ligatures w14:val="none"/>
        </w:rPr>
        <w:br/>
      </w:r>
      <w:bookmarkStart w:id="23" w:name="_Toc197375893"/>
      <w:r w:rsidRPr="00405021">
        <w:rPr>
          <w:rFonts w:ascii="Calibri" w:hAnsi="Calibri" w:cs="Calibri"/>
        </w:rPr>
        <w:t>Model B: Credit Line-Usage Interaction and Customer Attrition</w:t>
      </w:r>
      <w:bookmarkEnd w:id="23"/>
    </w:p>
    <w:p w14:paraId="71DCA1C1" w14:textId="4C591CF3" w:rsidR="00DF6F22"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 xml:space="preserve">Research </w:t>
      </w:r>
      <w:r w:rsidR="00D92286" w:rsidRPr="00405021">
        <w:rPr>
          <w:rStyle w:val="Strong"/>
          <w:rFonts w:ascii="Calibri" w:eastAsiaTheme="majorEastAsia" w:hAnsi="Calibri" w:cs="Calibri"/>
          <w:b w:val="0"/>
          <w:bCs w:val="0"/>
        </w:rPr>
        <w:t>Focus</w:t>
      </w:r>
      <w:r w:rsidRPr="00405021">
        <w:rPr>
          <w:rStyle w:val="Strong"/>
          <w:rFonts w:ascii="Calibri" w:eastAsiaTheme="majorEastAsia" w:hAnsi="Calibri" w:cs="Calibri"/>
          <w:b w:val="0"/>
          <w:bCs w:val="0"/>
        </w:rPr>
        <w:t>:</w:t>
      </w:r>
      <w:r w:rsidRPr="00405021">
        <w:rPr>
          <w:rFonts w:ascii="Calibri" w:hAnsi="Calibri" w:cs="Calibri"/>
        </w:rPr>
        <w:t xml:space="preserve"> </w:t>
      </w:r>
      <w:r w:rsidR="00850348" w:rsidRPr="00405021">
        <w:rPr>
          <w:rFonts w:ascii="Calibri" w:hAnsi="Calibri" w:cs="Calibri"/>
        </w:rPr>
        <w:t>E</w:t>
      </w:r>
      <w:r w:rsidRPr="00405021">
        <w:rPr>
          <w:rFonts w:ascii="Calibri" w:hAnsi="Calibri" w:cs="Calibri"/>
        </w:rPr>
        <w:t>xamined whether a customer's credit utilization affects attrition differently across various credit limits, while accounting for inactivity periods and transaction patterns.</w:t>
      </w:r>
    </w:p>
    <w:p w14:paraId="38365D54" w14:textId="77777777" w:rsidR="00DF6F22"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Key Findings:</w:t>
      </w:r>
      <w:r w:rsidRPr="00405021">
        <w:rPr>
          <w:rFonts w:ascii="Calibri" w:hAnsi="Calibri" w:cs="Calibri"/>
        </w:rPr>
        <w:t xml:space="preserve"> The analysis revealed a significant negative interaction between credit limit and utilization (β = –0.00097, p &lt; .001), creating a counterintuitive effect:</w:t>
      </w:r>
    </w:p>
    <w:p w14:paraId="18A72EDE" w14:textId="77777777" w:rsidR="00DF6F22" w:rsidRPr="00405021" w:rsidRDefault="00DF6F22" w:rsidP="00DF6F22">
      <w:pPr>
        <w:pStyle w:val="whitespace-normal"/>
        <w:numPr>
          <w:ilvl w:val="0"/>
          <w:numId w:val="14"/>
        </w:numPr>
        <w:rPr>
          <w:rFonts w:ascii="Calibri" w:hAnsi="Calibri" w:cs="Calibri"/>
        </w:rPr>
      </w:pPr>
      <w:r w:rsidRPr="00405021">
        <w:rPr>
          <w:rFonts w:ascii="Calibri" w:hAnsi="Calibri" w:cs="Calibri"/>
        </w:rPr>
        <w:t>For customers with $10,000 limits: Increasing utilization from 30% to 50% cuts attrition risk by half</w:t>
      </w:r>
    </w:p>
    <w:p w14:paraId="60BDBBD6" w14:textId="77777777" w:rsidR="00DF6F22" w:rsidRPr="00405021" w:rsidRDefault="00DF6F22" w:rsidP="00DF6F22">
      <w:pPr>
        <w:pStyle w:val="whitespace-normal"/>
        <w:numPr>
          <w:ilvl w:val="0"/>
          <w:numId w:val="14"/>
        </w:numPr>
        <w:rPr>
          <w:rFonts w:ascii="Calibri" w:hAnsi="Calibri" w:cs="Calibri"/>
        </w:rPr>
      </w:pPr>
      <w:r w:rsidRPr="00405021">
        <w:rPr>
          <w:rFonts w:ascii="Calibri" w:hAnsi="Calibri" w:cs="Calibri"/>
        </w:rPr>
        <w:t>For customers with $2,000 limits: The same utilization increase actually boosts attrition risk by 18%</w:t>
      </w:r>
    </w:p>
    <w:p w14:paraId="69DBDBA1" w14:textId="21CE2A7D" w:rsidR="00DF6F22" w:rsidRPr="00405021" w:rsidRDefault="009C2160" w:rsidP="00DF6F22">
      <w:pPr>
        <w:pStyle w:val="whitespace-pre-wrap"/>
        <w:rPr>
          <w:rFonts w:ascii="Calibri" w:hAnsi="Calibri" w:cs="Calibri"/>
        </w:rPr>
      </w:pPr>
      <w:r w:rsidRPr="00405021">
        <w:rPr>
          <w:rFonts w:ascii="Calibri" w:hAnsi="Calibri" w:cs="Calibri"/>
        </w:rPr>
        <w:t>V</w:t>
      </w:r>
      <w:r w:rsidR="00DF6F22" w:rsidRPr="00405021">
        <w:rPr>
          <w:rFonts w:ascii="Calibri" w:hAnsi="Calibri" w:cs="Calibri"/>
        </w:rPr>
        <w:t>isualizations map th</w:t>
      </w:r>
      <w:r w:rsidR="002D65D5" w:rsidRPr="00405021">
        <w:rPr>
          <w:rFonts w:ascii="Calibri" w:hAnsi="Calibri" w:cs="Calibri"/>
        </w:rPr>
        <w:t>e</w:t>
      </w:r>
      <w:r w:rsidR="00DF6F22" w:rsidRPr="00405021">
        <w:rPr>
          <w:rFonts w:ascii="Calibri" w:hAnsi="Calibri" w:cs="Calibri"/>
        </w:rPr>
        <w:t xml:space="preserve"> "constraint-release" relationship comprehensively</w:t>
      </w:r>
      <w:sdt>
        <w:sdtPr>
          <w:rPr>
            <w:rFonts w:ascii="Calibri" w:hAnsi="Calibri" w:cs="Calibri"/>
          </w:rPr>
          <w:id w:val="93529719"/>
          <w:citation/>
        </w:sdtPr>
        <w:sdtEndPr/>
        <w:sdtContent>
          <w:r w:rsidR="00467026" w:rsidRPr="00405021">
            <w:rPr>
              <w:rFonts w:ascii="Calibri" w:hAnsi="Calibri" w:cs="Calibri"/>
            </w:rPr>
            <w:fldChar w:fldCharType="begin"/>
          </w:r>
          <w:r w:rsidR="00467026" w:rsidRPr="00405021">
            <w:rPr>
              <w:rFonts w:ascii="Calibri" w:hAnsi="Calibri" w:cs="Calibri"/>
            </w:rPr>
            <w:instrText xml:space="preserve"> CITATION Dra98 \l 16393 </w:instrText>
          </w:r>
          <w:r w:rsidR="00467026" w:rsidRPr="00405021">
            <w:rPr>
              <w:rFonts w:ascii="Calibri" w:hAnsi="Calibri" w:cs="Calibri"/>
            </w:rPr>
            <w:fldChar w:fldCharType="separate"/>
          </w:r>
          <w:r w:rsidR="00405021" w:rsidRPr="00405021">
            <w:rPr>
              <w:rFonts w:ascii="Calibri" w:hAnsi="Calibri" w:cs="Calibri"/>
              <w:noProof/>
            </w:rPr>
            <w:t xml:space="preserve"> (Prelec &amp; Loewenstein, 1998)</w:t>
          </w:r>
          <w:r w:rsidR="00467026" w:rsidRPr="00405021">
            <w:rPr>
              <w:rFonts w:ascii="Calibri" w:hAnsi="Calibri" w:cs="Calibri"/>
            </w:rPr>
            <w:fldChar w:fldCharType="end"/>
          </w:r>
        </w:sdtContent>
      </w:sdt>
      <w:r w:rsidR="00DF6F22" w:rsidRPr="00405021">
        <w:rPr>
          <w:rFonts w:ascii="Calibri" w:hAnsi="Calibri" w:cs="Calibri"/>
        </w:rPr>
        <w:t>. The model performs strongly with AUC = 0.869 and balanced accuracy = 0.78, outperforming baseline predictions while maintaining interpretability. Hosmer-Lemeshow testing (p = .31) confirms the model is well-calibrated.</w:t>
      </w:r>
    </w:p>
    <w:p w14:paraId="328595FE" w14:textId="77777777" w:rsidR="00DF6F22"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Business Implications:</w:t>
      </w:r>
    </w:p>
    <w:p w14:paraId="49D7F755" w14:textId="162CA16E" w:rsidR="00DF6F22" w:rsidRPr="00405021" w:rsidRDefault="00DF6F22" w:rsidP="00DF6F22">
      <w:pPr>
        <w:pStyle w:val="whitespace-normal"/>
        <w:numPr>
          <w:ilvl w:val="0"/>
          <w:numId w:val="15"/>
        </w:numPr>
        <w:rPr>
          <w:rFonts w:ascii="Calibri" w:hAnsi="Calibri" w:cs="Calibri"/>
        </w:rPr>
      </w:pPr>
      <w:r w:rsidRPr="00405021">
        <w:rPr>
          <w:rStyle w:val="Strong"/>
          <w:rFonts w:ascii="Calibri" w:eastAsiaTheme="majorEastAsia" w:hAnsi="Calibri" w:cs="Calibri"/>
          <w:b w:val="0"/>
          <w:bCs w:val="0"/>
        </w:rPr>
        <w:t>High-limit, underutilizing customers</w:t>
      </w:r>
      <w:r w:rsidRPr="00405021">
        <w:rPr>
          <w:rFonts w:ascii="Calibri" w:hAnsi="Calibri" w:cs="Calibri"/>
        </w:rPr>
        <w:t xml:space="preserve"> represent declining but profitable relationships that could benefit from fee waivers or enhanced rewards to increase engagement</w:t>
      </w:r>
      <w:sdt>
        <w:sdtPr>
          <w:rPr>
            <w:rFonts w:ascii="Calibri" w:hAnsi="Calibri" w:cs="Calibri"/>
          </w:rPr>
          <w:id w:val="-219219672"/>
          <w:citation/>
        </w:sdtPr>
        <w:sdtEndPr/>
        <w:sdtContent>
          <w:r w:rsidR="00A626F1" w:rsidRPr="00405021">
            <w:rPr>
              <w:rFonts w:ascii="Calibri" w:hAnsi="Calibri" w:cs="Calibri"/>
            </w:rPr>
            <w:fldChar w:fldCharType="begin"/>
          </w:r>
          <w:r w:rsidR="00A626F1" w:rsidRPr="00405021">
            <w:rPr>
              <w:rFonts w:ascii="Calibri" w:hAnsi="Calibri" w:cs="Calibri"/>
            </w:rPr>
            <w:instrText xml:space="preserve"> CITATION Kog12 \l 16393 </w:instrText>
          </w:r>
          <w:r w:rsidR="00A626F1" w:rsidRPr="00405021">
            <w:rPr>
              <w:rFonts w:ascii="Calibri" w:hAnsi="Calibri" w:cs="Calibri"/>
            </w:rPr>
            <w:fldChar w:fldCharType="separate"/>
          </w:r>
          <w:r w:rsidR="00405021" w:rsidRPr="00405021">
            <w:rPr>
              <w:rFonts w:ascii="Calibri" w:hAnsi="Calibri" w:cs="Calibri"/>
              <w:noProof/>
            </w:rPr>
            <w:t xml:space="preserve"> (Kogut, 2012)</w:t>
          </w:r>
          <w:r w:rsidR="00A626F1" w:rsidRPr="00405021">
            <w:rPr>
              <w:rFonts w:ascii="Calibri" w:hAnsi="Calibri" w:cs="Calibri"/>
            </w:rPr>
            <w:fldChar w:fldCharType="end"/>
          </w:r>
        </w:sdtContent>
      </w:sdt>
      <w:r w:rsidRPr="00405021">
        <w:rPr>
          <w:rFonts w:ascii="Calibri" w:hAnsi="Calibri" w:cs="Calibri"/>
        </w:rPr>
        <w:t>.</w:t>
      </w:r>
    </w:p>
    <w:p w14:paraId="7D384B58" w14:textId="2AE77D4C" w:rsidR="00DF6F22" w:rsidRPr="00405021" w:rsidRDefault="00DF6F22" w:rsidP="00DF6F22">
      <w:pPr>
        <w:pStyle w:val="whitespace-normal"/>
        <w:numPr>
          <w:ilvl w:val="0"/>
          <w:numId w:val="15"/>
        </w:numPr>
        <w:rPr>
          <w:rFonts w:ascii="Calibri" w:hAnsi="Calibri" w:cs="Calibri"/>
        </w:rPr>
      </w:pPr>
      <w:r w:rsidRPr="00405021">
        <w:rPr>
          <w:rStyle w:val="Strong"/>
          <w:rFonts w:ascii="Calibri" w:eastAsiaTheme="majorEastAsia" w:hAnsi="Calibri" w:cs="Calibri"/>
          <w:b w:val="0"/>
          <w:bCs w:val="0"/>
        </w:rPr>
        <w:t xml:space="preserve">Low-limit, </w:t>
      </w:r>
      <w:r w:rsidR="00E060AB" w:rsidRPr="00405021">
        <w:rPr>
          <w:rStyle w:val="Strong"/>
          <w:rFonts w:ascii="Calibri" w:eastAsiaTheme="majorEastAsia" w:hAnsi="Calibri" w:cs="Calibri"/>
          <w:b w:val="0"/>
          <w:bCs w:val="0"/>
        </w:rPr>
        <w:t>heavily utilizing</w:t>
      </w:r>
      <w:r w:rsidRPr="00405021">
        <w:rPr>
          <w:rStyle w:val="Strong"/>
          <w:rFonts w:ascii="Calibri" w:eastAsiaTheme="majorEastAsia" w:hAnsi="Calibri" w:cs="Calibri"/>
          <w:b w:val="0"/>
          <w:bCs w:val="0"/>
        </w:rPr>
        <w:t xml:space="preserve"> customers</w:t>
      </w:r>
      <w:r w:rsidRPr="00405021">
        <w:rPr>
          <w:rFonts w:ascii="Calibri" w:hAnsi="Calibri" w:cs="Calibri"/>
        </w:rPr>
        <w:t xml:space="preserve"> feel constrained and show highest defection risk; consider offering refinancing options or </w:t>
      </w:r>
      <w:r w:rsidR="00E060AB" w:rsidRPr="00405021">
        <w:rPr>
          <w:rFonts w:ascii="Calibri" w:hAnsi="Calibri" w:cs="Calibri"/>
        </w:rPr>
        <w:t>instalment</w:t>
      </w:r>
      <w:r w:rsidRPr="00405021">
        <w:rPr>
          <w:rFonts w:ascii="Calibri" w:hAnsi="Calibri" w:cs="Calibri"/>
        </w:rPr>
        <w:t xml:space="preserve"> products rather than simple limit increases.</w:t>
      </w:r>
    </w:p>
    <w:p w14:paraId="73AF7C81" w14:textId="77777777" w:rsidR="00DF6F22" w:rsidRPr="00405021" w:rsidRDefault="00DF6F22" w:rsidP="00DF6F22">
      <w:pPr>
        <w:pStyle w:val="whitespace-pre-wrap"/>
        <w:rPr>
          <w:rFonts w:ascii="Calibri" w:hAnsi="Calibri" w:cs="Calibri"/>
        </w:rPr>
      </w:pPr>
      <w:r w:rsidRPr="00405021">
        <w:rPr>
          <w:rFonts w:ascii="Calibri" w:hAnsi="Calibri" w:cs="Calibri"/>
        </w:rPr>
        <w:lastRenderedPageBreak/>
        <w:t>This interaction insight cautions against universal credit line expansions that could undermine profitability without addressing underlying retention dynamics.</w:t>
      </w:r>
    </w:p>
    <w:p w14:paraId="652230E9" w14:textId="7FE41E80" w:rsidR="006B5624" w:rsidRPr="00405021" w:rsidRDefault="006B5624" w:rsidP="00452A64">
      <w:pPr>
        <w:pStyle w:val="Caption"/>
        <w:jc w:val="center"/>
        <w:rPr>
          <w:rFonts w:ascii="Calibri" w:hAnsi="Calibri" w:cs="Calibri"/>
          <w:i w:val="0"/>
          <w:iCs w:val="0"/>
          <w:sz w:val="22"/>
          <w:szCs w:val="22"/>
        </w:rPr>
      </w:pPr>
      <w:bookmarkStart w:id="24" w:name="_Toc197353907"/>
      <w:r w:rsidRPr="00405021">
        <w:rPr>
          <w:rFonts w:ascii="Calibri" w:hAnsi="Calibri" w:cs="Calibri"/>
          <w:i w:val="0"/>
          <w:iCs w:val="0"/>
          <w:sz w:val="22"/>
          <w:szCs w:val="22"/>
        </w:rPr>
        <w:t xml:space="preserve">Table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Table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4</w:t>
      </w:r>
      <w:r w:rsidRPr="00405021">
        <w:rPr>
          <w:rFonts w:ascii="Calibri" w:hAnsi="Calibri" w:cs="Calibri"/>
          <w:i w:val="0"/>
          <w:iCs w:val="0"/>
          <w:sz w:val="22"/>
          <w:szCs w:val="22"/>
        </w:rPr>
        <w:fldChar w:fldCharType="end"/>
      </w:r>
      <w:r w:rsidRPr="00405021">
        <w:rPr>
          <w:rFonts w:ascii="Calibri" w:hAnsi="Calibri" w:cs="Calibri"/>
          <w:i w:val="0"/>
          <w:iCs w:val="0"/>
          <w:sz w:val="22"/>
          <w:szCs w:val="22"/>
        </w:rPr>
        <w:t>: Logistic Regression Results(Source: Author)</w:t>
      </w:r>
      <w:bookmarkEnd w:id="24"/>
    </w:p>
    <w:p w14:paraId="07A19E3D" w14:textId="6404AB4E" w:rsidR="0071475E" w:rsidRPr="00405021" w:rsidRDefault="0071475E"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222CB2B1" wp14:editId="15AADB36">
            <wp:extent cx="3324386" cy="899160"/>
            <wp:effectExtent l="0" t="0" r="9525" b="0"/>
            <wp:docPr id="396471175" name="Picture 8"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1175" name="Picture 8" descr="A table with numbers and letters&#10;&#10;AI-generated content may be incorrect."/>
                    <pic:cNvPicPr/>
                  </pic:nvPicPr>
                  <pic:blipFill rotWithShape="1">
                    <a:blip r:embed="rId25">
                      <a:extLst>
                        <a:ext uri="{28A0092B-C50C-407E-A947-70E740481C1C}">
                          <a14:useLocalDpi xmlns:a14="http://schemas.microsoft.com/office/drawing/2010/main" val="0"/>
                        </a:ext>
                      </a:extLst>
                    </a:blip>
                    <a:srcRect r="34982"/>
                    <a:stretch/>
                  </pic:blipFill>
                  <pic:spPr bwMode="auto">
                    <a:xfrm>
                      <a:off x="0" y="0"/>
                      <a:ext cx="3324674" cy="899238"/>
                    </a:xfrm>
                    <a:prstGeom prst="rect">
                      <a:avLst/>
                    </a:prstGeom>
                    <a:ln>
                      <a:noFill/>
                    </a:ln>
                    <a:extLst>
                      <a:ext uri="{53640926-AAD7-44D8-BBD7-CCE9431645EC}">
                        <a14:shadowObscured xmlns:a14="http://schemas.microsoft.com/office/drawing/2010/main"/>
                      </a:ext>
                    </a:extLst>
                  </pic:spPr>
                </pic:pic>
              </a:graphicData>
            </a:graphic>
          </wp:inline>
        </w:drawing>
      </w:r>
    </w:p>
    <w:p w14:paraId="268E4E2E" w14:textId="06DAD7AC" w:rsidR="00094396" w:rsidRPr="00405021" w:rsidRDefault="00094396"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kern w:val="0"/>
          <w:lang w:eastAsia="en-IN"/>
          <w14:ligatures w14:val="none"/>
        </w:rPr>
        <w:t>Adj. R² = 0.039 (↑ 0.8 pp); BP p = 0.18; VIF &lt; 2.0.</w:t>
      </w:r>
    </w:p>
    <w:p w14:paraId="0ECC0691" w14:textId="68E7D593" w:rsidR="008D2820" w:rsidRPr="00405021" w:rsidRDefault="00165B40"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20F94850" wp14:editId="74DE2F74">
            <wp:extent cx="5731510" cy="2523490"/>
            <wp:effectExtent l="0" t="0" r="2540" b="0"/>
            <wp:docPr id="159053437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4370" name="Picture 1" descr="A graph with a li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3CB14D62" w14:textId="28F86B88" w:rsidR="0015637C" w:rsidRPr="00405021" w:rsidRDefault="0015637C" w:rsidP="00452A64">
      <w:pPr>
        <w:pStyle w:val="Caption"/>
        <w:jc w:val="center"/>
        <w:rPr>
          <w:rFonts w:ascii="Calibri" w:hAnsi="Calibri" w:cs="Calibri"/>
          <w:i w:val="0"/>
          <w:iCs w:val="0"/>
          <w:sz w:val="22"/>
          <w:szCs w:val="22"/>
        </w:rPr>
      </w:pPr>
      <w:bookmarkStart w:id="25" w:name="_Toc197353922"/>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11</w:t>
      </w:r>
      <w:r w:rsidRPr="00405021">
        <w:rPr>
          <w:rFonts w:ascii="Calibri" w:hAnsi="Calibri" w:cs="Calibri"/>
          <w:i w:val="0"/>
          <w:iCs w:val="0"/>
          <w:sz w:val="22"/>
          <w:szCs w:val="22"/>
        </w:rPr>
        <w:fldChar w:fldCharType="end"/>
      </w:r>
      <w:r w:rsidRPr="00405021">
        <w:rPr>
          <w:rFonts w:ascii="Calibri" w:hAnsi="Calibri" w:cs="Calibri"/>
          <w:i w:val="0"/>
          <w:iCs w:val="0"/>
          <w:sz w:val="22"/>
          <w:szCs w:val="22"/>
        </w:rPr>
        <w:t>: Interaction Effect: Credit</w:t>
      </w:r>
      <w:r w:rsidRPr="00405021">
        <w:rPr>
          <w:rFonts w:ascii="Cambria Math" w:hAnsi="Cambria Math" w:cs="Cambria Math"/>
          <w:i w:val="0"/>
          <w:iCs w:val="0"/>
          <w:sz w:val="22"/>
          <w:szCs w:val="22"/>
        </w:rPr>
        <w:t>‑</w:t>
      </w:r>
      <w:r w:rsidRPr="00405021">
        <w:rPr>
          <w:rFonts w:ascii="Calibri" w:hAnsi="Calibri" w:cs="Calibri"/>
          <w:i w:val="0"/>
          <w:iCs w:val="0"/>
          <w:sz w:val="22"/>
          <w:szCs w:val="22"/>
        </w:rPr>
        <w:t>Limit × Utilisation on Attrition (Source: Author)</w:t>
      </w:r>
      <w:bookmarkEnd w:id="25"/>
    </w:p>
    <w:p w14:paraId="5ACA0105" w14:textId="77777777" w:rsidR="0015637C" w:rsidRPr="00405021" w:rsidRDefault="0015637C" w:rsidP="0015637C">
      <w:pPr>
        <w:rPr>
          <w:rFonts w:ascii="Calibri" w:hAnsi="Calibri" w:cs="Calibri"/>
        </w:rPr>
      </w:pPr>
    </w:p>
    <w:p w14:paraId="4CFEC8A6" w14:textId="306F6638" w:rsidR="00DF6F22" w:rsidRPr="00405021" w:rsidRDefault="00DF6F22" w:rsidP="00816EEC">
      <w:pPr>
        <w:pStyle w:val="Heading2"/>
        <w:rPr>
          <w:rFonts w:ascii="Calibri" w:hAnsi="Calibri" w:cs="Calibri"/>
        </w:rPr>
      </w:pPr>
      <w:bookmarkStart w:id="26" w:name="_Toc197375894"/>
      <w:r w:rsidRPr="00405021">
        <w:rPr>
          <w:rFonts w:ascii="Calibri" w:hAnsi="Calibri" w:cs="Calibri"/>
        </w:rPr>
        <w:t>Model C: Random Forest for Early Churn Detection</w:t>
      </w:r>
      <w:bookmarkEnd w:id="26"/>
    </w:p>
    <w:p w14:paraId="65646045" w14:textId="77777777" w:rsidR="00DF6F22"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Research Goal:</w:t>
      </w:r>
      <w:r w:rsidRPr="00405021">
        <w:rPr>
          <w:rFonts w:ascii="Calibri" w:hAnsi="Calibri" w:cs="Calibri"/>
        </w:rPr>
        <w:t xml:space="preserve"> Leverage complex nonlinear patterns and multi-factor interactions across behavioral and demographic variables to maximize early identification of customers likely to leave, enabling targeted retention campaigns.</w:t>
      </w:r>
    </w:p>
    <w:p w14:paraId="23C028A2" w14:textId="7FCB0FA6" w:rsidR="00EF6D7B"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Key Findings:</w:t>
      </w:r>
      <w:r w:rsidRPr="00405021">
        <w:rPr>
          <w:rFonts w:ascii="Calibri" w:hAnsi="Calibri" w:cs="Calibri"/>
        </w:rPr>
        <w:t xml:space="preserve"> </w:t>
      </w:r>
      <w:r w:rsidR="00EF6D7B" w:rsidRPr="00405021">
        <w:rPr>
          <w:rFonts w:ascii="Calibri" w:hAnsi="Calibri" w:cs="Calibri"/>
        </w:rPr>
        <w:t>Using five</w:t>
      </w:r>
      <w:r w:rsidR="00EF6D7B" w:rsidRPr="00405021">
        <w:rPr>
          <w:rFonts w:ascii="Calibri" w:hAnsi="Calibri" w:cs="Calibri"/>
        </w:rPr>
        <w:noBreakHyphen/>
        <w:t>fold cross</w:t>
      </w:r>
      <w:r w:rsidR="00EF6D7B" w:rsidRPr="00405021">
        <w:rPr>
          <w:rFonts w:ascii="Calibri" w:hAnsi="Calibri" w:cs="Calibri"/>
        </w:rPr>
        <w:noBreakHyphen/>
        <w:t>validation the random</w:t>
      </w:r>
      <w:r w:rsidR="00EF6D7B" w:rsidRPr="00405021">
        <w:rPr>
          <w:rFonts w:ascii="Calibri" w:hAnsi="Calibri" w:cs="Calibri"/>
        </w:rPr>
        <w:noBreakHyphen/>
        <w:t xml:space="preserve">forest model settled on </w:t>
      </w:r>
      <w:r w:rsidR="00EF6D7B" w:rsidRPr="00405021">
        <w:rPr>
          <w:rStyle w:val="Strong"/>
          <w:rFonts w:ascii="Calibri" w:eastAsiaTheme="majorEastAsia" w:hAnsi="Calibri" w:cs="Calibri"/>
          <w:b w:val="0"/>
          <w:bCs w:val="0"/>
        </w:rPr>
        <w:t>mtry = 3</w:t>
      </w:r>
      <w:r w:rsidR="0073290B" w:rsidRPr="00405021">
        <w:rPr>
          <w:rFonts w:ascii="Calibri" w:hAnsi="Calibri" w:cs="Calibri"/>
        </w:rPr>
        <w:t xml:space="preserve">. </w:t>
      </w:r>
      <w:r w:rsidR="00EF6D7B" w:rsidRPr="00405021">
        <w:rPr>
          <w:rFonts w:ascii="Calibri" w:hAnsi="Calibri" w:cs="Calibri"/>
        </w:rPr>
        <w:t>Out</w:t>
      </w:r>
      <w:r w:rsidR="00EF6D7B" w:rsidRPr="00405021">
        <w:rPr>
          <w:rFonts w:ascii="Calibri" w:hAnsi="Calibri" w:cs="Calibri"/>
        </w:rPr>
        <w:noBreakHyphen/>
        <w:t>of</w:t>
      </w:r>
      <w:r w:rsidR="00EF6D7B" w:rsidRPr="00405021">
        <w:rPr>
          <w:rFonts w:ascii="Calibri" w:hAnsi="Calibri" w:cs="Calibri"/>
        </w:rPr>
        <w:noBreakHyphen/>
        <w:t xml:space="preserve">bag testing gave an </w:t>
      </w:r>
      <w:r w:rsidR="00EF6D7B" w:rsidRPr="00405021">
        <w:rPr>
          <w:rStyle w:val="Strong"/>
          <w:rFonts w:ascii="Calibri" w:eastAsiaTheme="majorEastAsia" w:hAnsi="Calibri" w:cs="Calibri"/>
          <w:b w:val="0"/>
          <w:bCs w:val="0"/>
        </w:rPr>
        <w:t>AUC of 1.00</w:t>
      </w:r>
      <w:r w:rsidR="00EF6D7B" w:rsidRPr="00405021">
        <w:rPr>
          <w:rFonts w:ascii="Calibri" w:hAnsi="Calibri" w:cs="Calibri"/>
        </w:rPr>
        <w:t xml:space="preserve">, </w:t>
      </w:r>
      <w:r w:rsidR="00EF6D7B" w:rsidRPr="00405021">
        <w:rPr>
          <w:rStyle w:val="Strong"/>
          <w:rFonts w:ascii="Calibri" w:eastAsiaTheme="majorEastAsia" w:hAnsi="Calibri" w:cs="Calibri"/>
          <w:b w:val="0"/>
          <w:bCs w:val="0"/>
        </w:rPr>
        <w:t>recall of 1.00</w:t>
      </w:r>
      <w:r w:rsidR="00EF6D7B" w:rsidRPr="00405021">
        <w:rPr>
          <w:rFonts w:ascii="Calibri" w:hAnsi="Calibri" w:cs="Calibri"/>
        </w:rPr>
        <w:t xml:space="preserve"> and </w:t>
      </w:r>
      <w:r w:rsidR="00EF6D7B" w:rsidRPr="00405021">
        <w:rPr>
          <w:rStyle w:val="Strong"/>
          <w:rFonts w:ascii="Calibri" w:eastAsiaTheme="majorEastAsia" w:hAnsi="Calibri" w:cs="Calibri"/>
          <w:b w:val="0"/>
          <w:bCs w:val="0"/>
        </w:rPr>
        <w:t>precision of 0.91</w:t>
      </w:r>
      <w:r w:rsidR="00EF6D7B" w:rsidRPr="00405021">
        <w:rPr>
          <w:rFonts w:ascii="Calibri" w:hAnsi="Calibri" w:cs="Calibri"/>
        </w:rPr>
        <w:t xml:space="preserve"> at a 0.20 churn</w:t>
      </w:r>
      <w:r w:rsidR="00EF6D7B" w:rsidRPr="00405021">
        <w:rPr>
          <w:rFonts w:ascii="Calibri" w:hAnsi="Calibri" w:cs="Calibri"/>
        </w:rPr>
        <w:noBreakHyphen/>
        <w:t>probability cut</w:t>
      </w:r>
      <w:r w:rsidR="00EF6D7B" w:rsidRPr="00405021">
        <w:rPr>
          <w:rFonts w:ascii="Calibri" w:hAnsi="Calibri" w:cs="Calibri"/>
        </w:rPr>
        <w:noBreakHyphen/>
        <w:t xml:space="preserve">off; the confusion matrix supports these scores. The forest ranks </w:t>
      </w:r>
      <w:r w:rsidR="00EF6D7B" w:rsidRPr="00405021">
        <w:rPr>
          <w:rStyle w:val="Strong"/>
          <w:rFonts w:ascii="Calibri" w:eastAsiaTheme="majorEastAsia" w:hAnsi="Calibri" w:cs="Calibri"/>
          <w:b w:val="0"/>
          <w:bCs w:val="0"/>
        </w:rPr>
        <w:t>transaction count, transaction amount and months inactive</w:t>
      </w:r>
      <w:r w:rsidR="00EF6D7B" w:rsidRPr="00405021">
        <w:rPr>
          <w:rFonts w:ascii="Calibri" w:hAnsi="Calibri" w:cs="Calibri"/>
        </w:rPr>
        <w:t xml:space="preserve"> as the strongest signals, matching behavioural theory that habits and engagement drive loyalty</w:t>
      </w:r>
      <w:sdt>
        <w:sdtPr>
          <w:rPr>
            <w:rFonts w:ascii="Calibri" w:hAnsi="Calibri" w:cs="Calibri"/>
          </w:rPr>
          <w:id w:val="1255783619"/>
          <w:citation/>
        </w:sdtPr>
        <w:sdtEndPr/>
        <w:sdtContent>
          <w:r w:rsidR="009D2761" w:rsidRPr="00405021">
            <w:rPr>
              <w:rFonts w:ascii="Calibri" w:hAnsi="Calibri" w:cs="Calibri"/>
            </w:rPr>
            <w:fldChar w:fldCharType="begin"/>
          </w:r>
          <w:r w:rsidR="009D2761" w:rsidRPr="00405021">
            <w:rPr>
              <w:rFonts w:ascii="Calibri" w:hAnsi="Calibri" w:cs="Calibri"/>
            </w:rPr>
            <w:instrText xml:space="preserve"> CITATION Kiv12 \l 16393 </w:instrText>
          </w:r>
          <w:r w:rsidR="009D2761" w:rsidRPr="00405021">
            <w:rPr>
              <w:rFonts w:ascii="Calibri" w:hAnsi="Calibri" w:cs="Calibri"/>
            </w:rPr>
            <w:fldChar w:fldCharType="separate"/>
          </w:r>
          <w:r w:rsidR="00405021" w:rsidRPr="00405021">
            <w:rPr>
              <w:rFonts w:ascii="Calibri" w:hAnsi="Calibri" w:cs="Calibri"/>
              <w:noProof/>
            </w:rPr>
            <w:t xml:space="preserve"> (Kiviruusu, et al., 2012)</w:t>
          </w:r>
          <w:r w:rsidR="009D2761" w:rsidRPr="00405021">
            <w:rPr>
              <w:rFonts w:ascii="Calibri" w:hAnsi="Calibri" w:cs="Calibri"/>
            </w:rPr>
            <w:fldChar w:fldCharType="end"/>
          </w:r>
        </w:sdtContent>
      </w:sdt>
      <w:r w:rsidR="00EF6D7B" w:rsidRPr="00405021">
        <w:rPr>
          <w:rFonts w:ascii="Calibri" w:hAnsi="Calibri" w:cs="Calibri"/>
        </w:rPr>
        <w:t xml:space="preserve">. Lift and gain charts show high business value: by contacting only the </w:t>
      </w:r>
      <w:r w:rsidR="00EF6D7B" w:rsidRPr="00405021">
        <w:rPr>
          <w:rStyle w:val="Strong"/>
          <w:rFonts w:ascii="Calibri" w:eastAsiaTheme="majorEastAsia" w:hAnsi="Calibri" w:cs="Calibri"/>
          <w:b w:val="0"/>
          <w:bCs w:val="0"/>
        </w:rPr>
        <w:t>top 10 %</w:t>
      </w:r>
      <w:r w:rsidR="00EF6D7B" w:rsidRPr="00405021">
        <w:rPr>
          <w:rFonts w:ascii="Calibri" w:hAnsi="Calibri" w:cs="Calibri"/>
        </w:rPr>
        <w:t xml:space="preserve"> of customers flagged by the model, the bank would reach </w:t>
      </w:r>
      <w:r w:rsidR="00EF6D7B" w:rsidRPr="00405021">
        <w:rPr>
          <w:rStyle w:val="Strong"/>
          <w:rFonts w:ascii="Calibri" w:eastAsiaTheme="majorEastAsia" w:hAnsi="Calibri" w:cs="Calibri"/>
          <w:b w:val="0"/>
          <w:bCs w:val="0"/>
        </w:rPr>
        <w:t>over 60 % of all future churners</w:t>
      </w:r>
      <w:r w:rsidR="00EF6D7B" w:rsidRPr="00405021">
        <w:rPr>
          <w:rFonts w:ascii="Calibri" w:hAnsi="Calibri" w:cs="Calibri"/>
        </w:rPr>
        <w:t>, trebling the efficiency of a random campaign.</w:t>
      </w:r>
    </w:p>
    <w:p w14:paraId="704F3D4A" w14:textId="2B503CF6" w:rsidR="00FD7BA0" w:rsidRPr="00405021" w:rsidRDefault="00FD7BA0" w:rsidP="00452A64">
      <w:pPr>
        <w:pStyle w:val="whitespace-pre-wrap"/>
        <w:jc w:val="center"/>
        <w:rPr>
          <w:rFonts w:ascii="Calibri" w:hAnsi="Calibri" w:cs="Calibri"/>
        </w:rPr>
      </w:pPr>
      <w:r w:rsidRPr="00405021">
        <w:rPr>
          <w:rFonts w:ascii="Calibri" w:hAnsi="Calibri" w:cs="Calibri"/>
          <w:noProof/>
          <w14:ligatures w14:val="standardContextual"/>
        </w:rPr>
        <w:lastRenderedPageBreak/>
        <w:drawing>
          <wp:inline distT="0" distB="0" distL="0" distR="0" wp14:anchorId="403F60BD" wp14:editId="77407B23">
            <wp:extent cx="5731510" cy="2523490"/>
            <wp:effectExtent l="0" t="0" r="2540" b="0"/>
            <wp:docPr id="1874662328"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2328" name="Picture 5" descr="A diagram of a network&#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5B6AF887" w14:textId="6F9D042D" w:rsidR="00FD7BA0" w:rsidRPr="00405021" w:rsidRDefault="0015637C" w:rsidP="00452A64">
      <w:pPr>
        <w:pStyle w:val="Caption"/>
        <w:jc w:val="center"/>
        <w:rPr>
          <w:rFonts w:ascii="Calibri" w:hAnsi="Calibri" w:cs="Calibri"/>
          <w:i w:val="0"/>
          <w:iCs w:val="0"/>
          <w:sz w:val="22"/>
          <w:szCs w:val="22"/>
        </w:rPr>
      </w:pPr>
      <w:bookmarkStart w:id="27" w:name="_Toc197353923"/>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12</w:t>
      </w:r>
      <w:r w:rsidRPr="00405021">
        <w:rPr>
          <w:rFonts w:ascii="Calibri" w:hAnsi="Calibri" w:cs="Calibri"/>
          <w:i w:val="0"/>
          <w:iCs w:val="0"/>
          <w:sz w:val="22"/>
          <w:szCs w:val="22"/>
        </w:rPr>
        <w:fldChar w:fldCharType="end"/>
      </w:r>
      <w:r w:rsidRPr="00405021">
        <w:rPr>
          <w:rFonts w:ascii="Calibri" w:hAnsi="Calibri" w:cs="Calibri"/>
          <w:i w:val="0"/>
          <w:iCs w:val="0"/>
          <w:sz w:val="22"/>
          <w:szCs w:val="22"/>
        </w:rPr>
        <w:t>: Decision Tree (Source: Author)</w:t>
      </w:r>
      <w:bookmarkEnd w:id="27"/>
    </w:p>
    <w:p w14:paraId="3BD595A9" w14:textId="6645FDB6" w:rsidR="00DF6F22" w:rsidRPr="00405021" w:rsidRDefault="00DF6F22" w:rsidP="00DF6F22">
      <w:pPr>
        <w:pStyle w:val="whitespace-pre-wrap"/>
        <w:rPr>
          <w:rFonts w:ascii="Calibri" w:hAnsi="Calibri" w:cs="Calibri"/>
        </w:rPr>
      </w:pPr>
      <w:r w:rsidRPr="00405021">
        <w:rPr>
          <w:rStyle w:val="Strong"/>
          <w:rFonts w:ascii="Calibri" w:eastAsiaTheme="majorEastAsia" w:hAnsi="Calibri" w:cs="Calibri"/>
          <w:b w:val="0"/>
          <w:bCs w:val="0"/>
        </w:rPr>
        <w:t>Applications &amp; Advantages:</w:t>
      </w:r>
      <w:r w:rsidRPr="00405021">
        <w:rPr>
          <w:rFonts w:ascii="Calibri" w:hAnsi="Calibri" w:cs="Calibri"/>
        </w:rPr>
        <w:t xml:space="preserve"> The random forest validates parametric findings while adding flexibility to detect complex conditional relationships (such as "Premium tier &amp; &gt;2 inactive months &amp; income &lt;$40k") that simple interaction terms might miss. Given the imbalanced nature of </w:t>
      </w:r>
      <w:r w:rsidR="000D6EAF" w:rsidRPr="00405021">
        <w:rPr>
          <w:rFonts w:ascii="Calibri" w:hAnsi="Calibri" w:cs="Calibri"/>
        </w:rPr>
        <w:t>the</w:t>
      </w:r>
      <w:r w:rsidRPr="00405021">
        <w:rPr>
          <w:rFonts w:ascii="Calibri" w:hAnsi="Calibri" w:cs="Calibri"/>
        </w:rPr>
        <w:t xml:space="preserve"> dataset (16% churn rate), the high recall ensures we don't miss profitable but quietly disengaging customers, while maintaining sufficient precision to keep campaign costs reasonable. The model's transparent variable importance rankings also provide regulatory compliance advantages over less interpretable machine learning alternatives.</w:t>
      </w:r>
    </w:p>
    <w:p w14:paraId="57A9861A" w14:textId="257E9883" w:rsidR="00A95707" w:rsidRPr="00405021" w:rsidRDefault="00A95707" w:rsidP="00452A64">
      <w:pPr>
        <w:pStyle w:val="Caption"/>
        <w:jc w:val="center"/>
        <w:rPr>
          <w:rFonts w:ascii="Calibri" w:hAnsi="Calibri" w:cs="Calibri"/>
          <w:i w:val="0"/>
          <w:iCs w:val="0"/>
          <w:sz w:val="22"/>
          <w:szCs w:val="22"/>
        </w:rPr>
      </w:pPr>
      <w:bookmarkStart w:id="28" w:name="_Toc197353908"/>
      <w:r w:rsidRPr="00405021">
        <w:rPr>
          <w:rFonts w:ascii="Calibri" w:hAnsi="Calibri" w:cs="Calibri"/>
          <w:i w:val="0"/>
          <w:iCs w:val="0"/>
          <w:sz w:val="22"/>
          <w:szCs w:val="22"/>
        </w:rPr>
        <w:t xml:space="preserve">Table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Table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5</w:t>
      </w:r>
      <w:r w:rsidRPr="00405021">
        <w:rPr>
          <w:rFonts w:ascii="Calibri" w:hAnsi="Calibri" w:cs="Calibri"/>
          <w:i w:val="0"/>
          <w:iCs w:val="0"/>
          <w:sz w:val="22"/>
          <w:szCs w:val="22"/>
        </w:rPr>
        <w:fldChar w:fldCharType="end"/>
      </w:r>
      <w:r w:rsidRPr="00405021">
        <w:rPr>
          <w:rFonts w:ascii="Calibri" w:hAnsi="Calibri" w:cs="Calibri"/>
          <w:i w:val="0"/>
          <w:iCs w:val="0"/>
          <w:sz w:val="22"/>
          <w:szCs w:val="22"/>
        </w:rPr>
        <w:t>: Randon Forest Classification Results(Source: Author)</w:t>
      </w:r>
      <w:bookmarkEnd w:id="28"/>
    </w:p>
    <w:p w14:paraId="2E491138" w14:textId="10696192" w:rsidR="0071475E" w:rsidRPr="00405021" w:rsidRDefault="0071475E"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drawing>
          <wp:inline distT="0" distB="0" distL="0" distR="0" wp14:anchorId="35D0CAB3" wp14:editId="35791660">
            <wp:extent cx="2882685" cy="1607820"/>
            <wp:effectExtent l="0" t="0" r="0" b="0"/>
            <wp:docPr id="1004232055" name="Picture 9"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2055" name="Picture 9" descr="A table with numbers and symbols&#10;&#10;AI-generated content may be incorrect."/>
                    <pic:cNvPicPr/>
                  </pic:nvPicPr>
                  <pic:blipFill rotWithShape="1">
                    <a:blip r:embed="rId28">
                      <a:extLst>
                        <a:ext uri="{28A0092B-C50C-407E-A947-70E740481C1C}">
                          <a14:useLocalDpi xmlns:a14="http://schemas.microsoft.com/office/drawing/2010/main" val="0"/>
                        </a:ext>
                      </a:extLst>
                    </a:blip>
                    <a:srcRect r="38185"/>
                    <a:stretch/>
                  </pic:blipFill>
                  <pic:spPr bwMode="auto">
                    <a:xfrm>
                      <a:off x="0" y="0"/>
                      <a:ext cx="2882935" cy="1607959"/>
                    </a:xfrm>
                    <a:prstGeom prst="rect">
                      <a:avLst/>
                    </a:prstGeom>
                    <a:ln>
                      <a:noFill/>
                    </a:ln>
                    <a:extLst>
                      <a:ext uri="{53640926-AAD7-44D8-BBD7-CCE9431645EC}">
                        <a14:shadowObscured xmlns:a14="http://schemas.microsoft.com/office/drawing/2010/main"/>
                      </a:ext>
                    </a:extLst>
                  </pic:spPr>
                </pic:pic>
              </a:graphicData>
            </a:graphic>
          </wp:inline>
        </w:drawing>
      </w:r>
    </w:p>
    <w:p w14:paraId="34B68D1C" w14:textId="77777777" w:rsidR="00A95707" w:rsidRPr="00405021" w:rsidRDefault="00A95707" w:rsidP="00094396">
      <w:pPr>
        <w:spacing w:before="100" w:beforeAutospacing="1" w:after="100" w:afterAutospacing="1" w:line="240" w:lineRule="auto"/>
        <w:rPr>
          <w:rFonts w:ascii="Calibri" w:eastAsia="Times New Roman" w:hAnsi="Calibri" w:cs="Calibri"/>
          <w:kern w:val="0"/>
          <w:lang w:eastAsia="en-IN"/>
          <w14:ligatures w14:val="none"/>
        </w:rPr>
      </w:pPr>
    </w:p>
    <w:p w14:paraId="0FF15831" w14:textId="2C62BF3C" w:rsidR="00F63264" w:rsidRPr="00405021" w:rsidRDefault="00FD7BA0" w:rsidP="00452A64">
      <w:pPr>
        <w:spacing w:before="100" w:beforeAutospacing="1" w:after="100" w:afterAutospacing="1" w:line="240" w:lineRule="auto"/>
        <w:jc w:val="center"/>
        <w:rPr>
          <w:rFonts w:ascii="Calibri" w:eastAsia="Times New Roman" w:hAnsi="Calibri" w:cs="Calibri"/>
          <w:kern w:val="0"/>
          <w:lang w:eastAsia="en-IN"/>
          <w14:ligatures w14:val="none"/>
        </w:rPr>
      </w:pPr>
      <w:r w:rsidRPr="00405021">
        <w:rPr>
          <w:rFonts w:ascii="Calibri" w:eastAsia="Times New Roman" w:hAnsi="Calibri" w:cs="Calibri"/>
          <w:noProof/>
          <w:kern w:val="0"/>
          <w:lang w:eastAsia="en-IN"/>
        </w:rPr>
        <w:lastRenderedPageBreak/>
        <w:drawing>
          <wp:inline distT="0" distB="0" distL="0" distR="0" wp14:anchorId="634F3550" wp14:editId="7C30E9DA">
            <wp:extent cx="5731510" cy="2523490"/>
            <wp:effectExtent l="0" t="0" r="2540" b="0"/>
            <wp:docPr id="1260312002" name="Picture 6"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2002" name="Picture 6" descr="A graph of a curv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71BB8754" w14:textId="38BCEB4B" w:rsidR="00A95707" w:rsidRPr="00405021" w:rsidRDefault="00A95707" w:rsidP="00452A64">
      <w:pPr>
        <w:pStyle w:val="Caption"/>
        <w:jc w:val="center"/>
        <w:rPr>
          <w:rFonts w:ascii="Calibri" w:hAnsi="Calibri" w:cs="Calibri"/>
          <w:i w:val="0"/>
          <w:iCs w:val="0"/>
          <w:sz w:val="22"/>
          <w:szCs w:val="22"/>
        </w:rPr>
      </w:pPr>
      <w:bookmarkStart w:id="29" w:name="_Toc197353924"/>
      <w:r w:rsidRPr="00405021">
        <w:rPr>
          <w:rFonts w:ascii="Calibri" w:hAnsi="Calibri" w:cs="Calibri"/>
          <w:i w:val="0"/>
          <w:iCs w:val="0"/>
          <w:sz w:val="22"/>
          <w:szCs w:val="22"/>
        </w:rPr>
        <w:t xml:space="preserve">Figure </w:t>
      </w:r>
      <w:r w:rsidRPr="00405021">
        <w:rPr>
          <w:rFonts w:ascii="Calibri" w:hAnsi="Calibri" w:cs="Calibri"/>
          <w:i w:val="0"/>
          <w:iCs w:val="0"/>
          <w:sz w:val="22"/>
          <w:szCs w:val="22"/>
        </w:rPr>
        <w:fldChar w:fldCharType="begin"/>
      </w:r>
      <w:r w:rsidRPr="00405021">
        <w:rPr>
          <w:rFonts w:ascii="Calibri" w:hAnsi="Calibri" w:cs="Calibri"/>
          <w:i w:val="0"/>
          <w:iCs w:val="0"/>
          <w:sz w:val="22"/>
          <w:szCs w:val="22"/>
        </w:rPr>
        <w:instrText xml:space="preserve"> SEQ Figure \* ARABIC </w:instrText>
      </w:r>
      <w:r w:rsidRPr="00405021">
        <w:rPr>
          <w:rFonts w:ascii="Calibri" w:hAnsi="Calibri" w:cs="Calibri"/>
          <w:i w:val="0"/>
          <w:iCs w:val="0"/>
          <w:sz w:val="22"/>
          <w:szCs w:val="22"/>
        </w:rPr>
        <w:fldChar w:fldCharType="separate"/>
      </w:r>
      <w:r w:rsidR="003926A5">
        <w:rPr>
          <w:rFonts w:ascii="Calibri" w:hAnsi="Calibri" w:cs="Calibri"/>
          <w:i w:val="0"/>
          <w:iCs w:val="0"/>
          <w:noProof/>
          <w:sz w:val="22"/>
          <w:szCs w:val="22"/>
        </w:rPr>
        <w:t>13</w:t>
      </w:r>
      <w:r w:rsidRPr="00405021">
        <w:rPr>
          <w:rFonts w:ascii="Calibri" w:hAnsi="Calibri" w:cs="Calibri"/>
          <w:i w:val="0"/>
          <w:iCs w:val="0"/>
          <w:sz w:val="22"/>
          <w:szCs w:val="22"/>
        </w:rPr>
        <w:fldChar w:fldCharType="end"/>
      </w:r>
      <w:r w:rsidRPr="00405021">
        <w:rPr>
          <w:rFonts w:ascii="Calibri" w:hAnsi="Calibri" w:cs="Calibri"/>
          <w:i w:val="0"/>
          <w:iCs w:val="0"/>
          <w:sz w:val="22"/>
          <w:szCs w:val="22"/>
        </w:rPr>
        <w:t>: ROC Curve Comparison(Source: Author)</w:t>
      </w:r>
      <w:bookmarkEnd w:id="29"/>
    </w:p>
    <w:p w14:paraId="74B39280" w14:textId="77777777" w:rsidR="00511340" w:rsidRPr="00405021" w:rsidRDefault="00511340" w:rsidP="00511340">
      <w:pPr>
        <w:rPr>
          <w:rFonts w:ascii="Calibri" w:hAnsi="Calibri" w:cs="Calibri"/>
        </w:rPr>
      </w:pPr>
    </w:p>
    <w:p w14:paraId="553BE3D1" w14:textId="43B429FC" w:rsidR="002440CA" w:rsidRPr="00405021" w:rsidRDefault="002440CA" w:rsidP="00816EEC">
      <w:pPr>
        <w:pStyle w:val="Heading2"/>
        <w:rPr>
          <w:rFonts w:ascii="Calibri" w:hAnsi="Calibri" w:cs="Calibri"/>
        </w:rPr>
      </w:pPr>
      <w:bookmarkStart w:id="30" w:name="_Toc197375895"/>
      <w:r w:rsidRPr="00405021">
        <w:rPr>
          <w:rFonts w:ascii="Calibri" w:hAnsi="Calibri" w:cs="Calibri"/>
        </w:rPr>
        <w:t>Model Integration &amp; Critical Review</w:t>
      </w:r>
      <w:bookmarkEnd w:id="30"/>
    </w:p>
    <w:p w14:paraId="5EF462D8" w14:textId="59462F08" w:rsidR="00EB4495" w:rsidRPr="00405021" w:rsidRDefault="00EB4495" w:rsidP="00EB4495">
      <w:pPr>
        <w:pStyle w:val="NormalWeb"/>
        <w:rPr>
          <w:rFonts w:ascii="Calibri" w:hAnsi="Calibri" w:cs="Calibri"/>
        </w:rPr>
      </w:pPr>
      <w:r w:rsidRPr="00405021">
        <w:rPr>
          <w:rFonts w:ascii="Calibri" w:hAnsi="Calibri" w:cs="Calibri"/>
        </w:rPr>
        <w:t>The three models together offer a cohesive “size–timing–target” framework: the linear model quantifies spend impacts, logistic regression identifies the optimal timing for interventions, and the random forest pinpoints high-risk churn candidates</w:t>
      </w:r>
      <w:sdt>
        <w:sdtPr>
          <w:rPr>
            <w:rFonts w:ascii="Calibri" w:hAnsi="Calibri" w:cs="Calibri"/>
          </w:rPr>
          <w:id w:val="909279382"/>
          <w:citation/>
        </w:sdtPr>
        <w:sdtEndPr/>
        <w:sdtContent>
          <w:r w:rsidR="00892D49" w:rsidRPr="00405021">
            <w:rPr>
              <w:rFonts w:ascii="Calibri" w:hAnsi="Calibri" w:cs="Calibri"/>
            </w:rPr>
            <w:fldChar w:fldCharType="begin"/>
          </w:r>
          <w:r w:rsidR="00892D49" w:rsidRPr="00405021">
            <w:rPr>
              <w:rFonts w:ascii="Calibri" w:hAnsi="Calibri" w:cs="Calibri"/>
            </w:rPr>
            <w:instrText xml:space="preserve"> CITATION Ham24 \l 16393 </w:instrText>
          </w:r>
          <w:r w:rsidR="00892D49" w:rsidRPr="00405021">
            <w:rPr>
              <w:rFonts w:ascii="Calibri" w:hAnsi="Calibri" w:cs="Calibri"/>
            </w:rPr>
            <w:fldChar w:fldCharType="separate"/>
          </w:r>
          <w:r w:rsidR="00405021" w:rsidRPr="00405021">
            <w:rPr>
              <w:rFonts w:ascii="Calibri" w:hAnsi="Calibri" w:cs="Calibri"/>
              <w:noProof/>
            </w:rPr>
            <w:t xml:space="preserve"> (Tanhaei, et al., 2024)</w:t>
          </w:r>
          <w:r w:rsidR="00892D49" w:rsidRPr="00405021">
            <w:rPr>
              <w:rFonts w:ascii="Calibri" w:hAnsi="Calibri" w:cs="Calibri"/>
            </w:rPr>
            <w:fldChar w:fldCharType="end"/>
          </w:r>
        </w:sdtContent>
      </w:sdt>
      <w:r w:rsidRPr="00405021">
        <w:rPr>
          <w:rFonts w:ascii="Calibri" w:hAnsi="Calibri" w:cs="Calibri"/>
        </w:rPr>
        <w:t>. All models pass statistical checks (e.g., low VIF, good calibration), though the perfect AUC of the forest suggests possible overfitting</w:t>
      </w:r>
      <w:sdt>
        <w:sdtPr>
          <w:rPr>
            <w:rFonts w:ascii="Calibri" w:hAnsi="Calibri" w:cs="Calibri"/>
          </w:rPr>
          <w:id w:val="467167386"/>
          <w:citation/>
        </w:sdtPr>
        <w:sdtEndPr/>
        <w:sdtContent>
          <w:r w:rsidR="00FB626D" w:rsidRPr="00405021">
            <w:rPr>
              <w:rFonts w:ascii="Calibri" w:hAnsi="Calibri" w:cs="Calibri"/>
            </w:rPr>
            <w:fldChar w:fldCharType="begin"/>
          </w:r>
          <w:r w:rsidR="00FB626D" w:rsidRPr="00405021">
            <w:rPr>
              <w:rFonts w:ascii="Calibri" w:hAnsi="Calibri" w:cs="Calibri"/>
            </w:rPr>
            <w:instrText xml:space="preserve"> CITATION Kel07 \l 16393 </w:instrText>
          </w:r>
          <w:r w:rsidR="00FB626D" w:rsidRPr="00405021">
            <w:rPr>
              <w:rFonts w:ascii="Calibri" w:hAnsi="Calibri" w:cs="Calibri"/>
            </w:rPr>
            <w:fldChar w:fldCharType="separate"/>
          </w:r>
          <w:r w:rsidR="00405021" w:rsidRPr="00405021">
            <w:rPr>
              <w:rFonts w:ascii="Calibri" w:hAnsi="Calibri" w:cs="Calibri"/>
              <w:noProof/>
            </w:rPr>
            <w:t xml:space="preserve"> (Archer, et al., 2007)</w:t>
          </w:r>
          <w:r w:rsidR="00FB626D" w:rsidRPr="00405021">
            <w:rPr>
              <w:rFonts w:ascii="Calibri" w:hAnsi="Calibri" w:cs="Calibri"/>
            </w:rPr>
            <w:fldChar w:fldCharType="end"/>
          </w:r>
        </w:sdtContent>
      </w:sdt>
      <w:r w:rsidRPr="00405021">
        <w:rPr>
          <w:rFonts w:ascii="Calibri" w:hAnsi="Calibri" w:cs="Calibri"/>
        </w:rPr>
        <w:t>. Limitations include potential bias from non-random credit assignments and lack of psychological indicators. For example, Carla (46, Blue tier, $12k limit, 20% usage, 3 inactive months) has a 34% churn risk and underperforms by $206. A $3k limit boost plus cashback could raise spend by $126 and halve attrition risk.</w:t>
      </w:r>
    </w:p>
    <w:p w14:paraId="4AFEAF43" w14:textId="168D7305" w:rsidR="002440CA" w:rsidRPr="00405021" w:rsidRDefault="00094396" w:rsidP="00816EEC">
      <w:pPr>
        <w:pStyle w:val="Heading1"/>
        <w:rPr>
          <w:rFonts w:ascii="Calibri" w:hAnsi="Calibri" w:cs="Calibri"/>
        </w:rPr>
      </w:pPr>
      <w:r w:rsidRPr="00405021">
        <w:rPr>
          <w:rFonts w:ascii="Calibri" w:hAnsi="Calibri" w:cs="Calibri"/>
        </w:rPr>
        <w:br/>
      </w:r>
      <w:bookmarkStart w:id="31" w:name="_Toc197375896"/>
      <w:r w:rsidR="002440CA" w:rsidRPr="00405021">
        <w:rPr>
          <w:rFonts w:ascii="Calibri" w:hAnsi="Calibri" w:cs="Calibri"/>
        </w:rPr>
        <w:t>Strategic Recommendations &amp; Implementation Plan</w:t>
      </w:r>
      <w:bookmarkEnd w:id="31"/>
    </w:p>
    <w:p w14:paraId="27967A1A" w14:textId="2C054857" w:rsidR="002440CA" w:rsidRPr="00405021" w:rsidRDefault="002440CA" w:rsidP="00816EEC">
      <w:pPr>
        <w:pStyle w:val="Heading2"/>
        <w:rPr>
          <w:rFonts w:ascii="Calibri" w:hAnsi="Calibri" w:cs="Calibri"/>
        </w:rPr>
      </w:pPr>
      <w:bookmarkStart w:id="32" w:name="_Toc197375897"/>
      <w:r w:rsidRPr="00405021">
        <w:rPr>
          <w:rFonts w:ascii="Calibri" w:hAnsi="Calibri" w:cs="Calibri"/>
        </w:rPr>
        <w:t>Precision Credit Policy</w:t>
      </w:r>
      <w:bookmarkEnd w:id="32"/>
    </w:p>
    <w:p w14:paraId="52D70C57"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Insight:</w:t>
      </w:r>
      <w:r w:rsidRPr="00405021">
        <w:rPr>
          <w:rFonts w:ascii="Calibri" w:hAnsi="Calibri" w:cs="Calibri"/>
        </w:rPr>
        <w:t xml:space="preserve"> $1,000 additional credit generates $42 annual spend (p&lt;.001), but only with existing headroom above $2,475.</w:t>
      </w:r>
    </w:p>
    <w:p w14:paraId="1F0137BB"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Strategy:</w:t>
      </w:r>
      <w:r w:rsidRPr="00405021">
        <w:rPr>
          <w:rFonts w:ascii="Calibri" w:hAnsi="Calibri" w:cs="Calibri"/>
        </w:rPr>
        <w:t xml:space="preserve"> Implement two-tier credit approach:</w:t>
      </w:r>
    </w:p>
    <w:p w14:paraId="0CC3B769" w14:textId="77777777" w:rsidR="002440CA" w:rsidRPr="00405021" w:rsidRDefault="002440CA" w:rsidP="002440CA">
      <w:pPr>
        <w:numPr>
          <w:ilvl w:val="0"/>
          <w:numId w:val="16"/>
        </w:numPr>
        <w:spacing w:before="100" w:beforeAutospacing="1" w:after="100" w:afterAutospacing="1" w:line="240" w:lineRule="auto"/>
        <w:rPr>
          <w:rFonts w:ascii="Calibri" w:hAnsi="Calibri" w:cs="Calibri"/>
        </w:rPr>
      </w:pPr>
      <w:r w:rsidRPr="00405021">
        <w:rPr>
          <w:rStyle w:val="Strong"/>
          <w:rFonts w:ascii="Calibri" w:hAnsi="Calibri" w:cs="Calibri"/>
          <w:b w:val="0"/>
          <w:bCs w:val="0"/>
        </w:rPr>
        <w:t>Growth Tier:</w:t>
      </w:r>
      <w:r w:rsidRPr="00405021">
        <w:rPr>
          <w:rFonts w:ascii="Calibri" w:hAnsi="Calibri" w:cs="Calibri"/>
        </w:rPr>
        <w:t xml:space="preserve"> For limits ≥$3,000 with &lt;80% utilization → Increase limit by $3,000 </w:t>
      </w:r>
    </w:p>
    <w:p w14:paraId="4B5FECA5" w14:textId="26A41256" w:rsidR="002440CA" w:rsidRPr="00405021" w:rsidRDefault="002440CA" w:rsidP="002440CA">
      <w:pPr>
        <w:numPr>
          <w:ilvl w:val="1"/>
          <w:numId w:val="16"/>
        </w:numPr>
        <w:spacing w:before="100" w:beforeAutospacing="1" w:after="100" w:afterAutospacing="1" w:line="240" w:lineRule="auto"/>
        <w:rPr>
          <w:rFonts w:ascii="Calibri" w:hAnsi="Calibri" w:cs="Calibri"/>
        </w:rPr>
      </w:pPr>
      <w:r w:rsidRPr="00405021">
        <w:rPr>
          <w:rStyle w:val="Emphasis"/>
          <w:rFonts w:ascii="Calibri" w:hAnsi="Calibri" w:cs="Calibri"/>
          <w:i w:val="0"/>
          <w:iCs w:val="0"/>
        </w:rPr>
        <w:t>Returns:</w:t>
      </w:r>
      <w:r w:rsidRPr="00405021">
        <w:rPr>
          <w:rFonts w:ascii="Calibri" w:hAnsi="Calibri" w:cs="Calibri"/>
        </w:rPr>
        <w:t xml:space="preserve"> +$126 spend, +$4 interchange, minimal risk increase (&lt;0.4</w:t>
      </w:r>
      <w:r w:rsidR="00B010C6" w:rsidRPr="00405021">
        <w:rPr>
          <w:rFonts w:ascii="Calibri" w:hAnsi="Calibri" w:cs="Calibri"/>
        </w:rPr>
        <w:t>%</w:t>
      </w:r>
      <w:r w:rsidRPr="00405021">
        <w:rPr>
          <w:rFonts w:ascii="Calibri" w:hAnsi="Calibri" w:cs="Calibri"/>
        </w:rPr>
        <w:t>)</w:t>
      </w:r>
      <w:r w:rsidR="00255261" w:rsidRPr="00405021">
        <w:rPr>
          <w:rFonts w:ascii="Calibri" w:hAnsi="Calibri" w:cs="Calibri"/>
        </w:rPr>
        <w:br/>
      </w:r>
    </w:p>
    <w:p w14:paraId="3A0643F1" w14:textId="7A45BC36" w:rsidR="002440CA" w:rsidRPr="00405021" w:rsidRDefault="002440CA" w:rsidP="002440CA">
      <w:pPr>
        <w:numPr>
          <w:ilvl w:val="0"/>
          <w:numId w:val="16"/>
        </w:numPr>
        <w:spacing w:before="100" w:beforeAutospacing="1" w:after="100" w:afterAutospacing="1" w:line="240" w:lineRule="auto"/>
        <w:rPr>
          <w:rFonts w:ascii="Calibri" w:hAnsi="Calibri" w:cs="Calibri"/>
        </w:rPr>
      </w:pPr>
      <w:r w:rsidRPr="00405021">
        <w:rPr>
          <w:rStyle w:val="Strong"/>
          <w:rFonts w:ascii="Calibri" w:hAnsi="Calibri" w:cs="Calibri"/>
          <w:b w:val="0"/>
          <w:bCs w:val="0"/>
        </w:rPr>
        <w:t>Relief Tier:</w:t>
      </w:r>
      <w:r w:rsidRPr="00405021">
        <w:rPr>
          <w:rFonts w:ascii="Calibri" w:hAnsi="Calibri" w:cs="Calibri"/>
        </w:rPr>
        <w:t xml:space="preserve"> For limits &lt;$3,000 with &gt;80% utilization → Offer balance</w:t>
      </w:r>
      <w:r w:rsidR="00255261" w:rsidRPr="00405021">
        <w:rPr>
          <w:rFonts w:ascii="Calibri" w:hAnsi="Calibri" w:cs="Calibri"/>
        </w:rPr>
        <w:t xml:space="preserve"> </w:t>
      </w:r>
      <w:r w:rsidRPr="00405021">
        <w:rPr>
          <w:rFonts w:ascii="Calibri" w:hAnsi="Calibri" w:cs="Calibri"/>
        </w:rPr>
        <w:t>transfers/</w:t>
      </w:r>
      <w:r w:rsidR="00255261" w:rsidRPr="00405021">
        <w:rPr>
          <w:rFonts w:ascii="Calibri" w:hAnsi="Calibri" w:cs="Calibri"/>
        </w:rPr>
        <w:t>instalment</w:t>
      </w:r>
      <w:r w:rsidRPr="00405021">
        <w:rPr>
          <w:rFonts w:ascii="Calibri" w:hAnsi="Calibri" w:cs="Calibri"/>
        </w:rPr>
        <w:t xml:space="preserve"> plans instead of limit increases</w:t>
      </w:r>
    </w:p>
    <w:p w14:paraId="1D6951C4" w14:textId="5046C7D2" w:rsidR="002440CA" w:rsidRPr="00405021" w:rsidRDefault="002440CA" w:rsidP="002440CA">
      <w:pPr>
        <w:pStyle w:val="NormalWeb"/>
        <w:rPr>
          <w:rFonts w:ascii="Calibri" w:hAnsi="Calibri" w:cs="Calibri"/>
        </w:rPr>
      </w:pPr>
      <w:r w:rsidRPr="00405021">
        <w:rPr>
          <w:rStyle w:val="Emphasis"/>
          <w:rFonts w:ascii="Calibri" w:eastAsiaTheme="majorEastAsia" w:hAnsi="Calibri" w:cs="Calibri"/>
          <w:i w:val="0"/>
          <w:iCs w:val="0"/>
        </w:rPr>
        <w:lastRenderedPageBreak/>
        <w:t>Behavioral basis:</w:t>
      </w:r>
      <w:r w:rsidRPr="00405021">
        <w:rPr>
          <w:rFonts w:ascii="Calibri" w:hAnsi="Calibri" w:cs="Calibri"/>
        </w:rPr>
        <w:t xml:space="preserve"> Aligns with mental budgeting theory</w:t>
      </w:r>
      <w:r w:rsidR="00255261" w:rsidRPr="00405021">
        <w:rPr>
          <w:rFonts w:ascii="Calibri" w:hAnsi="Calibri" w:cs="Calibri"/>
        </w:rPr>
        <w:t xml:space="preserve">, </w:t>
      </w:r>
      <w:r w:rsidRPr="00405021">
        <w:rPr>
          <w:rFonts w:ascii="Calibri" w:hAnsi="Calibri" w:cs="Calibri"/>
        </w:rPr>
        <w:t>customers spend more with "breathing room" but feel trapped when maxed out</w:t>
      </w:r>
      <w:sdt>
        <w:sdtPr>
          <w:rPr>
            <w:rFonts w:ascii="Calibri" w:hAnsi="Calibri" w:cs="Calibri"/>
          </w:rPr>
          <w:id w:val="-1702389355"/>
          <w:citation/>
        </w:sdtPr>
        <w:sdtEndPr/>
        <w:sdtContent>
          <w:r w:rsidR="00AA6628" w:rsidRPr="00405021">
            <w:rPr>
              <w:rFonts w:ascii="Calibri" w:hAnsi="Calibri" w:cs="Calibri"/>
            </w:rPr>
            <w:fldChar w:fldCharType="begin"/>
          </w:r>
          <w:r w:rsidR="0027732A">
            <w:rPr>
              <w:rFonts w:ascii="Calibri" w:hAnsi="Calibri" w:cs="Calibri"/>
            </w:rPr>
            <w:instrText xml:space="preserve">CITATION DrO23 \l 16393 </w:instrText>
          </w:r>
          <w:r w:rsidR="00AA6628" w:rsidRPr="00405021">
            <w:rPr>
              <w:rFonts w:ascii="Calibri" w:hAnsi="Calibri" w:cs="Calibri"/>
            </w:rPr>
            <w:fldChar w:fldCharType="separate"/>
          </w:r>
          <w:r w:rsidR="0027732A">
            <w:rPr>
              <w:rFonts w:ascii="Calibri" w:hAnsi="Calibri" w:cs="Calibri"/>
              <w:noProof/>
            </w:rPr>
            <w:t xml:space="preserve"> </w:t>
          </w:r>
          <w:r w:rsidR="0027732A" w:rsidRPr="0027732A">
            <w:rPr>
              <w:rFonts w:ascii="Calibri" w:hAnsi="Calibri" w:cs="Calibri"/>
              <w:noProof/>
            </w:rPr>
            <w:t>(Bulut, 2023)</w:t>
          </w:r>
          <w:r w:rsidR="00AA6628" w:rsidRPr="00405021">
            <w:rPr>
              <w:rFonts w:ascii="Calibri" w:hAnsi="Calibri" w:cs="Calibri"/>
            </w:rPr>
            <w:fldChar w:fldCharType="end"/>
          </w:r>
        </w:sdtContent>
      </w:sdt>
      <w:r w:rsidRPr="00405021">
        <w:rPr>
          <w:rFonts w:ascii="Calibri" w:hAnsi="Calibri" w:cs="Calibri"/>
        </w:rPr>
        <w:t>.</w:t>
      </w:r>
    </w:p>
    <w:p w14:paraId="6C727E2E" w14:textId="0AC91C0A" w:rsidR="002440CA" w:rsidRPr="00405021" w:rsidRDefault="002440CA" w:rsidP="00816EEC">
      <w:pPr>
        <w:pStyle w:val="Heading2"/>
        <w:rPr>
          <w:rFonts w:ascii="Calibri" w:hAnsi="Calibri" w:cs="Calibri"/>
        </w:rPr>
      </w:pPr>
      <w:bookmarkStart w:id="33" w:name="_Toc197375898"/>
      <w:r w:rsidRPr="00405021">
        <w:rPr>
          <w:rFonts w:ascii="Calibri" w:hAnsi="Calibri" w:cs="Calibri"/>
        </w:rPr>
        <w:t>Early Disengagement Intervention</w:t>
      </w:r>
      <w:bookmarkEnd w:id="33"/>
    </w:p>
    <w:p w14:paraId="7F5F8A77"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Insight:</w:t>
      </w:r>
      <w:r w:rsidRPr="00405021">
        <w:rPr>
          <w:rFonts w:ascii="Calibri" w:hAnsi="Calibri" w:cs="Calibri"/>
        </w:rPr>
        <w:t xml:space="preserve"> One month of inactivity costs $103 in spend and increases churn odds by 60%.</w:t>
      </w:r>
    </w:p>
    <w:p w14:paraId="0F4FFCD5"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Strategy:</w:t>
      </w:r>
      <w:r w:rsidRPr="00405021">
        <w:rPr>
          <w:rFonts w:ascii="Calibri" w:hAnsi="Calibri" w:cs="Calibri"/>
        </w:rPr>
        <w:t xml:space="preserve"> Deploy personalized 30-day dormancy triggers combining account summaries with time-limited cashback incentives.</w:t>
      </w:r>
    </w:p>
    <w:p w14:paraId="0AA325C3" w14:textId="77777777" w:rsidR="002440CA" w:rsidRPr="00405021" w:rsidRDefault="002440CA" w:rsidP="002440CA">
      <w:pPr>
        <w:numPr>
          <w:ilvl w:val="0"/>
          <w:numId w:val="17"/>
        </w:numPr>
        <w:spacing w:before="100" w:beforeAutospacing="1" w:after="100" w:afterAutospacing="1" w:line="240" w:lineRule="auto"/>
        <w:rPr>
          <w:rFonts w:ascii="Calibri" w:hAnsi="Calibri" w:cs="Calibri"/>
        </w:rPr>
      </w:pPr>
      <w:r w:rsidRPr="00405021">
        <w:rPr>
          <w:rStyle w:val="Emphasis"/>
          <w:rFonts w:ascii="Calibri" w:hAnsi="Calibri" w:cs="Calibri"/>
          <w:i w:val="0"/>
          <w:iCs w:val="0"/>
        </w:rPr>
        <w:t>Economics:</w:t>
      </w:r>
      <w:r w:rsidRPr="00405021">
        <w:rPr>
          <w:rFonts w:ascii="Calibri" w:hAnsi="Calibri" w:cs="Calibri"/>
        </w:rPr>
        <w:t xml:space="preserve"> $0.08 per contact; break-even at 0.08% response (vs. typical 3-5%)</w:t>
      </w:r>
    </w:p>
    <w:p w14:paraId="2FEC6E07" w14:textId="77777777" w:rsidR="002440CA" w:rsidRPr="00405021" w:rsidRDefault="002440CA" w:rsidP="002440CA">
      <w:pPr>
        <w:numPr>
          <w:ilvl w:val="0"/>
          <w:numId w:val="17"/>
        </w:numPr>
        <w:spacing w:before="100" w:beforeAutospacing="1" w:after="100" w:afterAutospacing="1" w:line="240" w:lineRule="auto"/>
        <w:rPr>
          <w:rFonts w:ascii="Calibri" w:hAnsi="Calibri" w:cs="Calibri"/>
        </w:rPr>
      </w:pPr>
      <w:r w:rsidRPr="00405021">
        <w:rPr>
          <w:rStyle w:val="Emphasis"/>
          <w:rFonts w:ascii="Calibri" w:hAnsi="Calibri" w:cs="Calibri"/>
          <w:i w:val="0"/>
          <w:iCs w:val="0"/>
        </w:rPr>
        <w:t>Testing:</w:t>
      </w:r>
      <w:r w:rsidRPr="00405021">
        <w:rPr>
          <w:rFonts w:ascii="Calibri" w:hAnsi="Calibri" w:cs="Calibri"/>
        </w:rPr>
        <w:t xml:space="preserve"> A/B compare email, push notification, and SMS delivery</w:t>
      </w:r>
    </w:p>
    <w:p w14:paraId="1C45C143" w14:textId="31BDF6B9" w:rsidR="002440CA" w:rsidRPr="00405021" w:rsidRDefault="002440CA" w:rsidP="002440CA">
      <w:pPr>
        <w:pStyle w:val="NormalWeb"/>
        <w:rPr>
          <w:rFonts w:ascii="Calibri" w:hAnsi="Calibri" w:cs="Calibri"/>
        </w:rPr>
      </w:pPr>
      <w:r w:rsidRPr="00405021">
        <w:rPr>
          <w:rStyle w:val="Emphasis"/>
          <w:rFonts w:ascii="Calibri" w:eastAsiaTheme="majorEastAsia" w:hAnsi="Calibri" w:cs="Calibri"/>
          <w:i w:val="0"/>
          <w:iCs w:val="0"/>
        </w:rPr>
        <w:t>Behavioral basis:</w:t>
      </w:r>
      <w:r w:rsidRPr="00405021">
        <w:rPr>
          <w:rFonts w:ascii="Calibri" w:hAnsi="Calibri" w:cs="Calibri"/>
        </w:rPr>
        <w:t xml:space="preserve"> Harnesses fresh-start effect and loss-framing to rebuild habit strength</w:t>
      </w:r>
      <w:sdt>
        <w:sdtPr>
          <w:rPr>
            <w:rFonts w:ascii="Calibri" w:hAnsi="Calibri" w:cs="Calibri"/>
          </w:rPr>
          <w:id w:val="421610843"/>
          <w:citation/>
        </w:sdtPr>
        <w:sdtEndPr/>
        <w:sdtContent>
          <w:r w:rsidR="00020724" w:rsidRPr="00405021">
            <w:rPr>
              <w:rFonts w:ascii="Calibri" w:hAnsi="Calibri" w:cs="Calibri"/>
            </w:rPr>
            <w:fldChar w:fldCharType="begin"/>
          </w:r>
          <w:r w:rsidR="00020724" w:rsidRPr="00405021">
            <w:rPr>
              <w:rFonts w:ascii="Calibri" w:hAnsi="Calibri" w:cs="Calibri"/>
            </w:rPr>
            <w:instrText xml:space="preserve"> CITATION Joy22 \l 16393 </w:instrText>
          </w:r>
          <w:r w:rsidR="00020724" w:rsidRPr="00405021">
            <w:rPr>
              <w:rFonts w:ascii="Calibri" w:hAnsi="Calibri" w:cs="Calibri"/>
            </w:rPr>
            <w:fldChar w:fldCharType="separate"/>
          </w:r>
          <w:r w:rsidR="00405021" w:rsidRPr="00405021">
            <w:rPr>
              <w:rFonts w:ascii="Calibri" w:hAnsi="Calibri" w:cs="Calibri"/>
              <w:noProof/>
            </w:rPr>
            <w:t xml:space="preserve"> (Banerji, et al., 2022)</w:t>
          </w:r>
          <w:r w:rsidR="00020724" w:rsidRPr="00405021">
            <w:rPr>
              <w:rFonts w:ascii="Calibri" w:hAnsi="Calibri" w:cs="Calibri"/>
            </w:rPr>
            <w:fldChar w:fldCharType="end"/>
          </w:r>
        </w:sdtContent>
      </w:sdt>
      <w:r w:rsidRPr="00405021">
        <w:rPr>
          <w:rFonts w:ascii="Calibri" w:hAnsi="Calibri" w:cs="Calibri"/>
        </w:rPr>
        <w:t>.</w:t>
      </w:r>
    </w:p>
    <w:p w14:paraId="3B13DC17" w14:textId="16030E09" w:rsidR="002440CA" w:rsidRPr="00405021" w:rsidRDefault="002440CA" w:rsidP="00816EEC">
      <w:pPr>
        <w:pStyle w:val="Heading2"/>
        <w:rPr>
          <w:rFonts w:ascii="Calibri" w:hAnsi="Calibri" w:cs="Calibri"/>
        </w:rPr>
      </w:pPr>
      <w:bookmarkStart w:id="34" w:name="_Toc197375899"/>
      <w:r w:rsidRPr="00405021">
        <w:rPr>
          <w:rFonts w:ascii="Calibri" w:hAnsi="Calibri" w:cs="Calibri"/>
        </w:rPr>
        <w:t>Premium Segment Retention</w:t>
      </w:r>
      <w:bookmarkEnd w:id="34"/>
    </w:p>
    <w:p w14:paraId="03EF3367"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Insight:</w:t>
      </w:r>
      <w:r w:rsidRPr="00405021">
        <w:rPr>
          <w:rFonts w:ascii="Calibri" w:hAnsi="Calibri" w:cs="Calibri"/>
        </w:rPr>
        <w:t xml:space="preserve"> Premium cards add $1,836 spend but increase churn odds seven-fold.</w:t>
      </w:r>
    </w:p>
    <w:p w14:paraId="0A93B01E"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Strategy:</w:t>
      </w:r>
      <w:r w:rsidRPr="00405021">
        <w:rPr>
          <w:rFonts w:ascii="Calibri" w:hAnsi="Calibri" w:cs="Calibri"/>
        </w:rPr>
        <w:t xml:space="preserve"> Replace universal fee waivers with targeted value enhancement:</w:t>
      </w:r>
    </w:p>
    <w:p w14:paraId="5ED81D21" w14:textId="77777777" w:rsidR="002440CA" w:rsidRPr="00405021" w:rsidRDefault="002440CA" w:rsidP="002440CA">
      <w:pPr>
        <w:numPr>
          <w:ilvl w:val="0"/>
          <w:numId w:val="18"/>
        </w:numPr>
        <w:spacing w:before="100" w:beforeAutospacing="1" w:after="100" w:afterAutospacing="1" w:line="240" w:lineRule="auto"/>
        <w:rPr>
          <w:rFonts w:ascii="Calibri" w:hAnsi="Calibri" w:cs="Calibri"/>
        </w:rPr>
      </w:pPr>
      <w:r w:rsidRPr="00405021">
        <w:rPr>
          <w:rFonts w:ascii="Calibri" w:hAnsi="Calibri" w:cs="Calibri"/>
        </w:rPr>
        <w:t>Waive fees only for inactive (&gt;1 month) or low-utilization (&lt;20%) premium customers</w:t>
      </w:r>
    </w:p>
    <w:p w14:paraId="23E2579A" w14:textId="77777777" w:rsidR="002440CA" w:rsidRPr="00405021" w:rsidRDefault="002440CA" w:rsidP="002440CA">
      <w:pPr>
        <w:numPr>
          <w:ilvl w:val="0"/>
          <w:numId w:val="18"/>
        </w:numPr>
        <w:spacing w:before="100" w:beforeAutospacing="1" w:after="100" w:afterAutospacing="1" w:line="240" w:lineRule="auto"/>
        <w:rPr>
          <w:rFonts w:ascii="Calibri" w:hAnsi="Calibri" w:cs="Calibri"/>
        </w:rPr>
      </w:pPr>
      <w:r w:rsidRPr="00405021">
        <w:rPr>
          <w:rFonts w:ascii="Calibri" w:hAnsi="Calibri" w:cs="Calibri"/>
        </w:rPr>
        <w:t>Offer experiential benefits to high-engagement segments</w:t>
      </w:r>
    </w:p>
    <w:p w14:paraId="3D4775E7" w14:textId="77777777" w:rsidR="002440CA" w:rsidRPr="00405021" w:rsidRDefault="002440CA" w:rsidP="002440CA">
      <w:pPr>
        <w:pStyle w:val="NormalWeb"/>
        <w:rPr>
          <w:rFonts w:ascii="Calibri" w:hAnsi="Calibri" w:cs="Calibri"/>
        </w:rPr>
      </w:pPr>
      <w:r w:rsidRPr="00405021">
        <w:rPr>
          <w:rStyle w:val="Emphasis"/>
          <w:rFonts w:ascii="Calibri" w:eastAsiaTheme="majorEastAsia" w:hAnsi="Calibri" w:cs="Calibri"/>
          <w:i w:val="0"/>
          <w:iCs w:val="0"/>
        </w:rPr>
        <w:t>Behavioral basis:</w:t>
      </w:r>
      <w:r w:rsidRPr="00405021">
        <w:rPr>
          <w:rFonts w:ascii="Calibri" w:hAnsi="Calibri" w:cs="Calibri"/>
        </w:rPr>
        <w:t xml:space="preserve"> Restores perceived value/reciprocity while preserving revenue from satisfied users.</w:t>
      </w:r>
    </w:p>
    <w:p w14:paraId="7982F947" w14:textId="7D72B03A" w:rsidR="002440CA" w:rsidRPr="00405021" w:rsidRDefault="002440CA" w:rsidP="00816EEC">
      <w:pPr>
        <w:pStyle w:val="Heading2"/>
        <w:rPr>
          <w:rFonts w:ascii="Calibri" w:hAnsi="Calibri" w:cs="Calibri"/>
        </w:rPr>
      </w:pPr>
      <w:bookmarkStart w:id="35" w:name="_Toc197375900"/>
      <w:r w:rsidRPr="00405021">
        <w:rPr>
          <w:rFonts w:ascii="Calibri" w:hAnsi="Calibri" w:cs="Calibri"/>
        </w:rPr>
        <w:t>Gender-Optimized Outreach</w:t>
      </w:r>
      <w:bookmarkEnd w:id="35"/>
    </w:p>
    <w:p w14:paraId="30A21B3F" w14:textId="18B38AD2"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Insight:</w:t>
      </w:r>
      <w:r w:rsidRPr="00405021">
        <w:rPr>
          <w:rFonts w:ascii="Calibri" w:hAnsi="Calibri" w:cs="Calibri"/>
        </w:rPr>
        <w:t xml:space="preserve"> Males spend $254 less but show 48% lower churn; females show 15</w:t>
      </w:r>
      <w:r w:rsidR="00062A36" w:rsidRPr="00405021">
        <w:rPr>
          <w:rFonts w:ascii="Calibri" w:hAnsi="Calibri" w:cs="Calibri"/>
        </w:rPr>
        <w:t>%</w:t>
      </w:r>
      <w:r w:rsidRPr="00405021">
        <w:rPr>
          <w:rFonts w:ascii="Calibri" w:hAnsi="Calibri" w:cs="Calibri"/>
        </w:rPr>
        <w:t xml:space="preserve"> higher attrition in top-risk segments.</w:t>
      </w:r>
    </w:p>
    <w:p w14:paraId="55FBFC81" w14:textId="77777777" w:rsidR="002440CA" w:rsidRPr="00405021" w:rsidRDefault="002440CA" w:rsidP="002440CA">
      <w:pPr>
        <w:pStyle w:val="NormalWeb"/>
        <w:rPr>
          <w:rFonts w:ascii="Calibri" w:hAnsi="Calibri" w:cs="Calibri"/>
        </w:rPr>
      </w:pPr>
      <w:r w:rsidRPr="00405021">
        <w:rPr>
          <w:rStyle w:val="Strong"/>
          <w:rFonts w:ascii="Calibri" w:eastAsiaTheme="majorEastAsia" w:hAnsi="Calibri" w:cs="Calibri"/>
          <w:b w:val="0"/>
          <w:bCs w:val="0"/>
        </w:rPr>
        <w:t>Strategy:</w:t>
      </w:r>
      <w:r w:rsidRPr="00405021">
        <w:rPr>
          <w:rFonts w:ascii="Calibri" w:hAnsi="Calibri" w:cs="Calibri"/>
        </w:rPr>
        <w:t xml:space="preserve"> Channel differentiation with equal treatment:</w:t>
      </w:r>
    </w:p>
    <w:p w14:paraId="3F12B8AE" w14:textId="77777777" w:rsidR="002440CA" w:rsidRPr="00405021" w:rsidRDefault="002440CA" w:rsidP="002440CA">
      <w:pPr>
        <w:numPr>
          <w:ilvl w:val="0"/>
          <w:numId w:val="19"/>
        </w:numPr>
        <w:spacing w:before="100" w:beforeAutospacing="1" w:after="100" w:afterAutospacing="1" w:line="240" w:lineRule="auto"/>
        <w:rPr>
          <w:rFonts w:ascii="Calibri" w:hAnsi="Calibri" w:cs="Calibri"/>
        </w:rPr>
      </w:pPr>
      <w:r w:rsidRPr="00405021">
        <w:rPr>
          <w:rFonts w:ascii="Calibri" w:hAnsi="Calibri" w:cs="Calibri"/>
        </w:rPr>
        <w:t>High-touch outreach to high-risk women</w:t>
      </w:r>
    </w:p>
    <w:p w14:paraId="4C43C08E" w14:textId="77777777" w:rsidR="002440CA" w:rsidRPr="00405021" w:rsidRDefault="002440CA" w:rsidP="002440CA">
      <w:pPr>
        <w:numPr>
          <w:ilvl w:val="0"/>
          <w:numId w:val="19"/>
        </w:numPr>
        <w:spacing w:before="100" w:beforeAutospacing="1" w:after="100" w:afterAutospacing="1" w:line="240" w:lineRule="auto"/>
        <w:rPr>
          <w:rFonts w:ascii="Calibri" w:hAnsi="Calibri" w:cs="Calibri"/>
        </w:rPr>
      </w:pPr>
      <w:r w:rsidRPr="00405021">
        <w:rPr>
          <w:rFonts w:ascii="Calibri" w:hAnsi="Calibri" w:cs="Calibri"/>
        </w:rPr>
        <w:t>Low-cost digital engagement for men</w:t>
      </w:r>
    </w:p>
    <w:p w14:paraId="5E3EDD27" w14:textId="77777777" w:rsidR="002440CA" w:rsidRPr="00405021" w:rsidRDefault="002440CA" w:rsidP="002440CA">
      <w:pPr>
        <w:numPr>
          <w:ilvl w:val="0"/>
          <w:numId w:val="19"/>
        </w:numPr>
        <w:spacing w:before="100" w:beforeAutospacing="1" w:after="100" w:afterAutospacing="1" w:line="240" w:lineRule="auto"/>
        <w:rPr>
          <w:rFonts w:ascii="Calibri" w:hAnsi="Calibri" w:cs="Calibri"/>
        </w:rPr>
      </w:pPr>
      <w:r w:rsidRPr="00405021">
        <w:rPr>
          <w:rStyle w:val="Emphasis"/>
          <w:rFonts w:ascii="Calibri" w:hAnsi="Calibri" w:cs="Calibri"/>
          <w:i w:val="0"/>
          <w:iCs w:val="0"/>
        </w:rPr>
        <w:t>Results:</w:t>
      </w:r>
      <w:r w:rsidRPr="00405021">
        <w:rPr>
          <w:rFonts w:ascii="Calibri" w:hAnsi="Calibri" w:cs="Calibri"/>
        </w:rPr>
        <w:t xml:space="preserve"> Precision improves from 0.41→0.48; ROI from 3.9×→4.6×</w:t>
      </w:r>
    </w:p>
    <w:p w14:paraId="2CB70BA4" w14:textId="77777777" w:rsidR="002440CA" w:rsidRPr="00405021" w:rsidRDefault="002440CA" w:rsidP="002440CA">
      <w:pPr>
        <w:pStyle w:val="NormalWeb"/>
        <w:rPr>
          <w:rFonts w:ascii="Calibri" w:hAnsi="Calibri" w:cs="Calibri"/>
        </w:rPr>
      </w:pPr>
      <w:r w:rsidRPr="00405021">
        <w:rPr>
          <w:rStyle w:val="Emphasis"/>
          <w:rFonts w:ascii="Calibri" w:eastAsiaTheme="majorEastAsia" w:hAnsi="Calibri" w:cs="Calibri"/>
          <w:i w:val="0"/>
          <w:iCs w:val="0"/>
        </w:rPr>
        <w:t>Note:</w:t>
      </w:r>
      <w:r w:rsidRPr="00405021">
        <w:rPr>
          <w:rFonts w:ascii="Calibri" w:hAnsi="Calibri" w:cs="Calibri"/>
        </w:rPr>
        <w:t xml:space="preserve"> Model performs similarly without gender (AUC -0.007); can pivot to churn-score targeting if required.</w:t>
      </w:r>
    </w:p>
    <w:p w14:paraId="054670B1" w14:textId="1D19C63C" w:rsidR="002440CA" w:rsidRPr="00405021" w:rsidRDefault="002440CA" w:rsidP="00816EEC">
      <w:pPr>
        <w:pStyle w:val="Heading2"/>
        <w:rPr>
          <w:rFonts w:ascii="Calibri" w:hAnsi="Calibri" w:cs="Calibri"/>
        </w:rPr>
      </w:pPr>
      <w:bookmarkStart w:id="36" w:name="_Toc197375901"/>
      <w:r w:rsidRPr="00405021">
        <w:rPr>
          <w:rFonts w:ascii="Calibri" w:hAnsi="Calibri" w:cs="Calibri"/>
        </w:rPr>
        <w:t>Implementation Framework</w:t>
      </w:r>
      <w:bookmarkEnd w:id="36"/>
    </w:p>
    <w:p w14:paraId="06000926" w14:textId="5797FAEF" w:rsidR="002440CA" w:rsidRPr="00405021" w:rsidRDefault="0017499B" w:rsidP="002440CA">
      <w:pPr>
        <w:rPr>
          <w:rFonts w:ascii="Calibri" w:hAnsi="Calibri" w:cs="Calibri"/>
        </w:rPr>
      </w:pPr>
      <w:r w:rsidRPr="00405021">
        <w:rPr>
          <w:rFonts w:ascii="Calibri" w:hAnsi="Calibri" w:cs="Calibri"/>
        </w:rPr>
        <w:t>The proposed framework integrates the models into a real-time decision engine, creating a 'size–timing–target' playbook</w:t>
      </w:r>
      <w:sdt>
        <w:sdtPr>
          <w:rPr>
            <w:rFonts w:ascii="Calibri" w:hAnsi="Calibri" w:cs="Calibri"/>
          </w:rPr>
          <w:id w:val="-430817546"/>
          <w:citation/>
        </w:sdtPr>
        <w:sdtEndPr/>
        <w:sdtContent>
          <w:r w:rsidR="008F1B32" w:rsidRPr="00405021">
            <w:rPr>
              <w:rFonts w:ascii="Calibri" w:hAnsi="Calibri" w:cs="Calibri"/>
            </w:rPr>
            <w:fldChar w:fldCharType="begin"/>
          </w:r>
          <w:r w:rsidR="008F1B32" w:rsidRPr="00405021">
            <w:rPr>
              <w:rFonts w:ascii="Calibri" w:hAnsi="Calibri" w:cs="Calibri"/>
            </w:rPr>
            <w:instrText xml:space="preserve"> CITATION Ham24 \l 16393 </w:instrText>
          </w:r>
          <w:r w:rsidR="008F1B32" w:rsidRPr="00405021">
            <w:rPr>
              <w:rFonts w:ascii="Calibri" w:hAnsi="Calibri" w:cs="Calibri"/>
            </w:rPr>
            <w:fldChar w:fldCharType="separate"/>
          </w:r>
          <w:r w:rsidR="00405021" w:rsidRPr="00405021">
            <w:rPr>
              <w:rFonts w:ascii="Calibri" w:hAnsi="Calibri" w:cs="Calibri"/>
              <w:noProof/>
            </w:rPr>
            <w:t xml:space="preserve"> (Tanhaei, et al., 2024)</w:t>
          </w:r>
          <w:r w:rsidR="008F1B32" w:rsidRPr="00405021">
            <w:rPr>
              <w:rFonts w:ascii="Calibri" w:hAnsi="Calibri" w:cs="Calibri"/>
            </w:rPr>
            <w:fldChar w:fldCharType="end"/>
          </w:r>
        </w:sdtContent>
      </w:sdt>
      <w:r w:rsidRPr="00405021">
        <w:rPr>
          <w:rFonts w:ascii="Calibri" w:hAnsi="Calibri" w:cs="Calibri"/>
        </w:rPr>
        <w:t xml:space="preserve">. This enables profile-based actions: offer </w:t>
      </w:r>
      <w:r w:rsidRPr="00405021">
        <w:rPr>
          <w:rFonts w:ascii="Calibri" w:hAnsi="Calibri" w:cs="Calibri"/>
        </w:rPr>
        <w:lastRenderedPageBreak/>
        <w:t>credit increases (</w:t>
      </w:r>
      <w:r w:rsidR="003F4D60" w:rsidRPr="00405021">
        <w:rPr>
          <w:rFonts w:ascii="Calibri" w:hAnsi="Calibri" w:cs="Calibri"/>
        </w:rPr>
        <w:t>$</w:t>
      </w:r>
      <w:r w:rsidRPr="00405021">
        <w:rPr>
          <w:rStyle w:val="mord"/>
          <w:rFonts w:ascii="Calibri" w:hAnsi="Calibri" w:cs="Calibri"/>
        </w:rPr>
        <w:t>42/</w:t>
      </w:r>
      <w:r w:rsidR="003F4D60" w:rsidRPr="00405021">
        <w:rPr>
          <w:rStyle w:val="mord"/>
          <w:rFonts w:ascii="Calibri" w:hAnsi="Calibri" w:cs="Calibri"/>
        </w:rPr>
        <w:t>$</w:t>
      </w:r>
      <w:r w:rsidR="003F4D60" w:rsidRPr="00405021">
        <w:rPr>
          <w:rFonts w:ascii="Calibri" w:hAnsi="Calibri" w:cs="Calibri"/>
        </w:rPr>
        <w:t>100</w:t>
      </w:r>
      <w:r w:rsidRPr="00405021">
        <w:rPr>
          <w:rFonts w:ascii="Calibri" w:hAnsi="Calibri" w:cs="Calibri"/>
        </w:rPr>
        <w:t>) for low-risk customers with &gt;$3</w:t>
      </w:r>
      <w:r w:rsidR="003F4D60" w:rsidRPr="00405021">
        <w:rPr>
          <w:rFonts w:ascii="Calibri" w:hAnsi="Calibri" w:cs="Calibri"/>
        </w:rPr>
        <w:t>000</w:t>
      </w:r>
      <w:r w:rsidRPr="00405021">
        <w:rPr>
          <w:rFonts w:ascii="Calibri" w:hAnsi="Calibri" w:cs="Calibri"/>
        </w:rPr>
        <w:t xml:space="preserve"> headroom; trigger reactivation ($103/month value) at 30 days dormancy for top-decile risks; apply fee waivers ($1,836 spend preserved) to low-utilization premium users. A 10% holdout pilot will validate effectiveness (target $8/account lift). Governance includes randomized tests (n=5k), monthly retraining (monitor AUC drift &gt;0.03), data enrichment, and bias audits—forecasting $6–8M gains and a 33% churn drop.</w:t>
      </w:r>
    </w:p>
    <w:p w14:paraId="28ED0395" w14:textId="797B307C" w:rsidR="002440CA" w:rsidRPr="00405021" w:rsidRDefault="002440CA" w:rsidP="00816EEC">
      <w:pPr>
        <w:pStyle w:val="Heading1"/>
        <w:rPr>
          <w:rFonts w:ascii="Calibri" w:hAnsi="Calibri" w:cs="Calibri"/>
        </w:rPr>
      </w:pPr>
      <w:bookmarkStart w:id="37" w:name="_Toc197375902"/>
      <w:r w:rsidRPr="00405021">
        <w:rPr>
          <w:rFonts w:ascii="Calibri" w:hAnsi="Calibri" w:cs="Calibri"/>
        </w:rPr>
        <w:t>Conclusion</w:t>
      </w:r>
      <w:bookmarkEnd w:id="37"/>
      <w:r w:rsidRPr="00405021">
        <w:rPr>
          <w:rFonts w:ascii="Calibri" w:hAnsi="Calibri" w:cs="Calibri"/>
        </w:rPr>
        <w:t> </w:t>
      </w:r>
    </w:p>
    <w:p w14:paraId="4B577AAD" w14:textId="2E423754" w:rsidR="001E22B9" w:rsidRPr="00405021" w:rsidRDefault="001E22B9" w:rsidP="002440CA">
      <w:pPr>
        <w:pStyle w:val="NormalWeb"/>
        <w:rPr>
          <w:rFonts w:ascii="Calibri" w:hAnsi="Calibri" w:cs="Calibri"/>
        </w:rPr>
      </w:pPr>
      <w:r w:rsidRPr="00405021">
        <w:rPr>
          <w:rFonts w:ascii="Calibri" w:hAnsi="Calibri" w:cs="Calibri"/>
        </w:rPr>
        <w:t xml:space="preserve">This study converted a rich credit card dataset into three complementary models explaining why customers spend, when they defect, and who is at greatest risk. The linear spend regression showed capacity and continuity of use overshadow demographics: every $1000 of credit headroom adds $42 of annual volume, whereas a single inactive month removes $103. An interaction-augmented model refined that insight—extra capacity only stimulates spending once existing limits exceed roughly $2500—turning a behavioral theory of “constraint-release” into an implementable line-increase rule. The churn models, logistic and </w:t>
      </w:r>
      <w:r w:rsidR="00CB5AE7" w:rsidRPr="00405021">
        <w:rPr>
          <w:rFonts w:ascii="Calibri" w:hAnsi="Calibri" w:cs="Calibri"/>
        </w:rPr>
        <w:t>random forest</w:t>
      </w:r>
      <w:r w:rsidRPr="00405021">
        <w:rPr>
          <w:rFonts w:ascii="Calibri" w:hAnsi="Calibri" w:cs="Calibri"/>
        </w:rPr>
        <w:t>, confirmed that habits protect while fee fatigue and utilization strain accelerate exits; their combined lift means retention teams can find three in five true churners by touching just one in ten accounts</w:t>
      </w:r>
      <w:sdt>
        <w:sdtPr>
          <w:rPr>
            <w:rFonts w:ascii="Calibri" w:hAnsi="Calibri" w:cs="Calibri"/>
          </w:rPr>
          <w:id w:val="-1447615246"/>
          <w:citation/>
        </w:sdtPr>
        <w:sdtEndPr/>
        <w:sdtContent>
          <w:r w:rsidR="003F1205" w:rsidRPr="00405021">
            <w:rPr>
              <w:rFonts w:ascii="Calibri" w:hAnsi="Calibri" w:cs="Calibri"/>
            </w:rPr>
            <w:fldChar w:fldCharType="begin"/>
          </w:r>
          <w:r w:rsidR="003F1205" w:rsidRPr="00405021">
            <w:rPr>
              <w:rFonts w:ascii="Calibri" w:hAnsi="Calibri" w:cs="Calibri"/>
            </w:rPr>
            <w:instrText xml:space="preserve"> CITATION McK24 \l 16393 </w:instrText>
          </w:r>
          <w:r w:rsidR="003F1205" w:rsidRPr="00405021">
            <w:rPr>
              <w:rFonts w:ascii="Calibri" w:hAnsi="Calibri" w:cs="Calibri"/>
            </w:rPr>
            <w:fldChar w:fldCharType="separate"/>
          </w:r>
          <w:r w:rsidR="00405021" w:rsidRPr="00405021">
            <w:rPr>
              <w:rFonts w:ascii="Calibri" w:hAnsi="Calibri" w:cs="Calibri"/>
              <w:noProof/>
            </w:rPr>
            <w:t xml:space="preserve"> (McKinsey, 2024)</w:t>
          </w:r>
          <w:r w:rsidR="003F1205" w:rsidRPr="00405021">
            <w:rPr>
              <w:rFonts w:ascii="Calibri" w:hAnsi="Calibri" w:cs="Calibri"/>
            </w:rPr>
            <w:fldChar w:fldCharType="end"/>
          </w:r>
        </w:sdtContent>
      </w:sdt>
      <w:r w:rsidRPr="00405021">
        <w:rPr>
          <w:rFonts w:ascii="Calibri" w:hAnsi="Calibri" w:cs="Calibri"/>
        </w:rPr>
        <w:t>.</w:t>
      </w:r>
    </w:p>
    <w:p w14:paraId="04BD0BE8" w14:textId="3A21F4EA" w:rsidR="002440CA" w:rsidRPr="00405021" w:rsidRDefault="002440CA" w:rsidP="002440CA">
      <w:pPr>
        <w:pStyle w:val="NormalWeb"/>
        <w:rPr>
          <w:rFonts w:ascii="Calibri" w:hAnsi="Calibri" w:cs="Calibri"/>
        </w:rPr>
      </w:pPr>
      <w:r w:rsidRPr="00405021">
        <w:rPr>
          <w:rFonts w:ascii="Calibri" w:hAnsi="Calibri" w:cs="Calibri"/>
        </w:rPr>
        <w:t xml:space="preserve">Taken together, these findings yield a </w:t>
      </w:r>
      <w:r w:rsidRPr="00405021">
        <w:rPr>
          <w:rStyle w:val="Strong"/>
          <w:rFonts w:ascii="Calibri" w:eastAsiaTheme="majorEastAsia" w:hAnsi="Calibri" w:cs="Calibri"/>
          <w:b w:val="0"/>
          <w:bCs w:val="0"/>
        </w:rPr>
        <w:t>size</w:t>
      </w:r>
      <w:r w:rsidRPr="00405021">
        <w:rPr>
          <w:rStyle w:val="Strong"/>
          <w:rFonts w:ascii="Calibri" w:eastAsiaTheme="majorEastAsia" w:hAnsi="Calibri" w:cs="Calibri"/>
          <w:b w:val="0"/>
          <w:bCs w:val="0"/>
        </w:rPr>
        <w:noBreakHyphen/>
        <w:t>timing</w:t>
      </w:r>
      <w:r w:rsidRPr="00405021">
        <w:rPr>
          <w:rStyle w:val="Strong"/>
          <w:rFonts w:ascii="Calibri" w:eastAsiaTheme="majorEastAsia" w:hAnsi="Calibri" w:cs="Calibri"/>
          <w:b w:val="0"/>
          <w:bCs w:val="0"/>
        </w:rPr>
        <w:noBreakHyphen/>
        <w:t>target playbook</w:t>
      </w:r>
      <w:r w:rsidRPr="00405021">
        <w:rPr>
          <w:rFonts w:ascii="Calibri" w:hAnsi="Calibri" w:cs="Calibri"/>
        </w:rPr>
        <w:t>: raise limits where they will pay back, nudge at the very first sign of dormancy, and reserve fee</w:t>
      </w:r>
      <w:r w:rsidR="0092455A" w:rsidRPr="00405021">
        <w:rPr>
          <w:rFonts w:ascii="Calibri" w:hAnsi="Calibri" w:cs="Calibri"/>
        </w:rPr>
        <w:t xml:space="preserve"> waivers </w:t>
      </w:r>
      <w:r w:rsidRPr="00405021">
        <w:rPr>
          <w:rFonts w:ascii="Calibri" w:hAnsi="Calibri" w:cs="Calibri"/>
        </w:rPr>
        <w:t>for premium customers who under</w:t>
      </w:r>
      <w:r w:rsidRPr="00405021">
        <w:rPr>
          <w:rFonts w:ascii="Calibri" w:hAnsi="Calibri" w:cs="Calibri"/>
        </w:rPr>
        <w:noBreakHyphen/>
        <w:t xml:space="preserve">use their cards. Simulations indicate an incremental </w:t>
      </w:r>
      <w:r w:rsidRPr="00405021">
        <w:rPr>
          <w:rStyle w:val="Strong"/>
          <w:rFonts w:ascii="Calibri" w:eastAsiaTheme="majorEastAsia" w:hAnsi="Calibri" w:cs="Calibri"/>
          <w:b w:val="0"/>
          <w:bCs w:val="0"/>
        </w:rPr>
        <w:t>$6–8 million</w:t>
      </w:r>
      <w:r w:rsidRPr="00405021">
        <w:rPr>
          <w:rFonts w:ascii="Calibri" w:hAnsi="Calibri" w:cs="Calibri"/>
        </w:rPr>
        <w:t xml:space="preserve"> in annual revenue and one</w:t>
      </w:r>
      <w:r w:rsidRPr="00405021">
        <w:rPr>
          <w:rFonts w:ascii="Calibri" w:hAnsi="Calibri" w:cs="Calibri"/>
        </w:rPr>
        <w:noBreakHyphen/>
        <w:t>third fewer avoidable closures, all without loosening credit</w:t>
      </w:r>
      <w:r w:rsidRPr="00405021">
        <w:rPr>
          <w:rFonts w:ascii="Calibri" w:hAnsi="Calibri" w:cs="Calibri"/>
        </w:rPr>
        <w:noBreakHyphen/>
        <w:t>risk tolerance.</w:t>
      </w:r>
    </w:p>
    <w:p w14:paraId="637E746F" w14:textId="4F43C28B" w:rsidR="002440CA" w:rsidRPr="00405021" w:rsidRDefault="002440CA" w:rsidP="002440CA">
      <w:pPr>
        <w:pStyle w:val="NormalWeb"/>
        <w:rPr>
          <w:rFonts w:ascii="Calibri" w:hAnsi="Calibri" w:cs="Calibri"/>
        </w:rPr>
      </w:pPr>
      <w:r w:rsidRPr="00405021">
        <w:rPr>
          <w:rFonts w:ascii="Calibri" w:hAnsi="Calibri" w:cs="Calibri"/>
        </w:rPr>
        <w:t>The work is statistically robust (heteroskedasticity tests, low VIF, cross</w:t>
      </w:r>
      <w:r w:rsidRPr="00405021">
        <w:rPr>
          <w:rFonts w:ascii="Calibri" w:hAnsi="Calibri" w:cs="Calibri"/>
        </w:rPr>
        <w:noBreakHyphen/>
        <w:t>validated lift) yet it remains transparent enough to satisfy both regulators and business users. Two caveats remain: potential endogeneity in credit</w:t>
      </w:r>
      <w:r w:rsidRPr="00405021">
        <w:rPr>
          <w:rFonts w:ascii="Calibri" w:hAnsi="Calibri" w:cs="Calibri"/>
        </w:rPr>
        <w:noBreakHyphen/>
        <w:t>line assignments, and the absence of psychographic data. Randomised limit trials and the addition of digital</w:t>
      </w:r>
      <w:r w:rsidRPr="00405021">
        <w:rPr>
          <w:rFonts w:ascii="Calibri" w:hAnsi="Calibri" w:cs="Calibri"/>
        </w:rPr>
        <w:noBreakHyphen/>
        <w:t>behaviour features are already queued to close those gaps</w:t>
      </w:r>
      <w:sdt>
        <w:sdtPr>
          <w:rPr>
            <w:rFonts w:ascii="Calibri" w:hAnsi="Calibri" w:cs="Calibri"/>
          </w:rPr>
          <w:id w:val="429628145"/>
          <w:citation/>
        </w:sdtPr>
        <w:sdtEndPr/>
        <w:sdtContent>
          <w:r w:rsidR="008357BF" w:rsidRPr="00405021">
            <w:rPr>
              <w:rFonts w:ascii="Calibri" w:hAnsi="Calibri" w:cs="Calibri"/>
            </w:rPr>
            <w:fldChar w:fldCharType="begin"/>
          </w:r>
          <w:r w:rsidR="008357BF" w:rsidRPr="00405021">
            <w:rPr>
              <w:rFonts w:ascii="Calibri" w:hAnsi="Calibri" w:cs="Calibri"/>
            </w:rPr>
            <w:instrText xml:space="preserve"> CITATION Jah23 \l 16393 </w:instrText>
          </w:r>
          <w:r w:rsidR="008357BF" w:rsidRPr="00405021">
            <w:rPr>
              <w:rFonts w:ascii="Calibri" w:hAnsi="Calibri" w:cs="Calibri"/>
            </w:rPr>
            <w:fldChar w:fldCharType="separate"/>
          </w:r>
          <w:r w:rsidR="00405021" w:rsidRPr="00405021">
            <w:rPr>
              <w:rFonts w:ascii="Calibri" w:hAnsi="Calibri" w:cs="Calibri"/>
              <w:noProof/>
            </w:rPr>
            <w:t xml:space="preserve"> (Otterbacher, et al., 2023)</w:t>
          </w:r>
          <w:r w:rsidR="008357BF" w:rsidRPr="00405021">
            <w:rPr>
              <w:rFonts w:ascii="Calibri" w:hAnsi="Calibri" w:cs="Calibri"/>
            </w:rPr>
            <w:fldChar w:fldCharType="end"/>
          </w:r>
        </w:sdtContent>
      </w:sdt>
      <w:r w:rsidRPr="00405021">
        <w:rPr>
          <w:rFonts w:ascii="Calibri" w:hAnsi="Calibri" w:cs="Calibri"/>
        </w:rPr>
        <w:t>.</w:t>
      </w:r>
    </w:p>
    <w:p w14:paraId="0545A629" w14:textId="77777777" w:rsidR="002440CA" w:rsidRPr="00405021" w:rsidRDefault="002440CA" w:rsidP="002440CA">
      <w:pPr>
        <w:pStyle w:val="NormalWeb"/>
        <w:rPr>
          <w:rFonts w:ascii="Calibri" w:hAnsi="Calibri" w:cs="Calibri"/>
        </w:rPr>
      </w:pPr>
      <w:r w:rsidRPr="00405021">
        <w:rPr>
          <w:rFonts w:ascii="Calibri" w:hAnsi="Calibri" w:cs="Calibri"/>
        </w:rPr>
        <w:t xml:space="preserve">In short, disciplined marketing analytics, informed by behavioural science, turns passive transactional data into an actionable roadmap for </w:t>
      </w:r>
      <w:r w:rsidRPr="00405021">
        <w:rPr>
          <w:rStyle w:val="Strong"/>
          <w:rFonts w:ascii="Calibri" w:eastAsiaTheme="majorEastAsia" w:hAnsi="Calibri" w:cs="Calibri"/>
          <w:b w:val="0"/>
          <w:bCs w:val="0"/>
        </w:rPr>
        <w:t>profitable growth and durable loyalty</w:t>
      </w:r>
      <w:r w:rsidRPr="00405021">
        <w:rPr>
          <w:rFonts w:ascii="Calibri" w:hAnsi="Calibri" w:cs="Calibri"/>
        </w:rPr>
        <w:t xml:space="preserve"> in a mature credit</w:t>
      </w:r>
      <w:r w:rsidRPr="00405021">
        <w:rPr>
          <w:rFonts w:ascii="Calibri" w:hAnsi="Calibri" w:cs="Calibri"/>
        </w:rPr>
        <w:noBreakHyphen/>
        <w:t>card book.</w:t>
      </w:r>
    </w:p>
    <w:bookmarkStart w:id="38" w:name="_Toc197375903" w:displacedByCustomXml="next"/>
    <w:sdt>
      <w:sdtPr>
        <w:rPr>
          <w:rFonts w:ascii="Calibri" w:eastAsiaTheme="minorHAnsi" w:hAnsi="Calibri" w:cs="Calibri"/>
          <w:color w:val="auto"/>
          <w:sz w:val="24"/>
          <w:szCs w:val="24"/>
        </w:rPr>
        <w:id w:val="1053360700"/>
        <w:docPartObj>
          <w:docPartGallery w:val="Bibliographies"/>
          <w:docPartUnique/>
        </w:docPartObj>
      </w:sdtPr>
      <w:sdtEndPr/>
      <w:sdtContent>
        <w:p w14:paraId="55DBE433" w14:textId="6D9C4737" w:rsidR="00821BCB" w:rsidRPr="00405021" w:rsidRDefault="00821BCB">
          <w:pPr>
            <w:pStyle w:val="Heading1"/>
            <w:rPr>
              <w:rFonts w:ascii="Calibri" w:hAnsi="Calibri" w:cs="Calibri"/>
            </w:rPr>
          </w:pPr>
          <w:r w:rsidRPr="00405021">
            <w:rPr>
              <w:rFonts w:ascii="Calibri" w:hAnsi="Calibri" w:cs="Calibri"/>
            </w:rPr>
            <w:t>References</w:t>
          </w:r>
          <w:bookmarkEnd w:id="38"/>
        </w:p>
        <w:sdt>
          <w:sdtPr>
            <w:rPr>
              <w:rFonts w:ascii="Calibri" w:hAnsi="Calibri" w:cs="Calibri"/>
            </w:rPr>
            <w:id w:val="-573587230"/>
            <w:bibliography/>
          </w:sdtPr>
          <w:sdtEndPr/>
          <w:sdtContent>
            <w:p w14:paraId="158ACB1F" w14:textId="77777777" w:rsidR="00405021" w:rsidRPr="00405021" w:rsidRDefault="00821BCB" w:rsidP="00405021">
              <w:pPr>
                <w:pStyle w:val="Bibliography"/>
                <w:rPr>
                  <w:rFonts w:ascii="Calibri" w:hAnsi="Calibri" w:cs="Calibri"/>
                  <w:noProof/>
                  <w:kern w:val="0"/>
                  <w14:ligatures w14:val="none"/>
                </w:rPr>
              </w:pPr>
              <w:r w:rsidRPr="00405021">
                <w:rPr>
                  <w:rFonts w:ascii="Calibri" w:hAnsi="Calibri" w:cs="Calibri"/>
                </w:rPr>
                <w:fldChar w:fldCharType="begin"/>
              </w:r>
              <w:r w:rsidRPr="00405021">
                <w:rPr>
                  <w:rFonts w:ascii="Calibri" w:hAnsi="Calibri" w:cs="Calibri"/>
                </w:rPr>
                <w:instrText xml:space="preserve"> BIBLIOGRAPHY </w:instrText>
              </w:r>
              <w:r w:rsidRPr="00405021">
                <w:rPr>
                  <w:rFonts w:ascii="Calibri" w:hAnsi="Calibri" w:cs="Calibri"/>
                </w:rPr>
                <w:fldChar w:fldCharType="separate"/>
              </w:r>
              <w:r w:rsidR="00405021" w:rsidRPr="00405021">
                <w:rPr>
                  <w:rFonts w:ascii="Calibri" w:hAnsi="Calibri" w:cs="Calibri"/>
                  <w:noProof/>
                </w:rPr>
                <w:t xml:space="preserve">Archer, K., Lemeshow, S. &amp; Hosmer, D. W., 2007. Goodness-of-fit test for logistic regression models when data are collected using a complex sample design. </w:t>
              </w:r>
              <w:r w:rsidR="00405021" w:rsidRPr="00405021">
                <w:rPr>
                  <w:rFonts w:ascii="Calibri" w:hAnsi="Calibri" w:cs="Calibri"/>
                  <w:i/>
                  <w:iCs/>
                  <w:noProof/>
                </w:rPr>
                <w:t xml:space="preserve">Computational Statistics &amp; Data Analysis, </w:t>
              </w:r>
              <w:r w:rsidR="00405021" w:rsidRPr="00405021">
                <w:rPr>
                  <w:rFonts w:ascii="Calibri" w:hAnsi="Calibri" w:cs="Calibri"/>
                  <w:noProof/>
                </w:rPr>
                <w:t>51(9), pp. 4450-4464.</w:t>
              </w:r>
            </w:p>
            <w:p w14:paraId="089F1079" w14:textId="77777777" w:rsidR="00405021" w:rsidRPr="00405021" w:rsidRDefault="00405021" w:rsidP="00405021">
              <w:pPr>
                <w:pStyle w:val="Bibliography"/>
                <w:rPr>
                  <w:rFonts w:ascii="Calibri" w:hAnsi="Calibri" w:cs="Calibri"/>
                  <w:noProof/>
                </w:rPr>
              </w:pPr>
              <w:r w:rsidRPr="00405021">
                <w:rPr>
                  <w:rFonts w:ascii="Calibri" w:hAnsi="Calibri" w:cs="Calibri"/>
                  <w:noProof/>
                </w:rPr>
                <w:lastRenderedPageBreak/>
                <w:t xml:space="preserve">Banerji, J., Alam, P. A. &amp; Kundu, K., 2022. The Impact of Behavioral Biases on Individuals’ Financial Choices under Uncertainty: An Empirical Approach. </w:t>
              </w:r>
              <w:r w:rsidRPr="00405021">
                <w:rPr>
                  <w:rFonts w:ascii="Calibri" w:hAnsi="Calibri" w:cs="Calibri"/>
                  <w:i/>
                  <w:iCs/>
                  <w:noProof/>
                </w:rPr>
                <w:t xml:space="preserve">Business Perspectives and Research, </w:t>
              </w:r>
              <w:r w:rsidRPr="00405021">
                <w:rPr>
                  <w:rFonts w:ascii="Calibri" w:hAnsi="Calibri" w:cs="Calibri"/>
                  <w:noProof/>
                </w:rPr>
                <w:t>11(1), pp. 82-89.</w:t>
              </w:r>
            </w:p>
            <w:p w14:paraId="5947ABE0"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BCG, 2021. </w:t>
              </w:r>
              <w:r w:rsidRPr="00405021">
                <w:rPr>
                  <w:rFonts w:ascii="Calibri" w:hAnsi="Calibri" w:cs="Calibri"/>
                  <w:i/>
                  <w:iCs/>
                  <w:noProof/>
                </w:rPr>
                <w:t xml:space="preserve">Global Retail Banking 2021: The Front-to-Back Digital Retail Bank.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https://www.bcg.com/publications/2021/global-retail-banking-report</w:t>
              </w:r>
              <w:r w:rsidRPr="00405021">
                <w:rPr>
                  <w:rFonts w:ascii="Calibri" w:hAnsi="Calibri" w:cs="Calibri"/>
                  <w:noProof/>
                </w:rPr>
                <w:br/>
                <w:t>[Accessed 26 January 2021].</w:t>
              </w:r>
            </w:p>
            <w:p w14:paraId="2D9999E0"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BCG, 2022. </w:t>
              </w:r>
              <w:r w:rsidRPr="00405021">
                <w:rPr>
                  <w:rFonts w:ascii="Calibri" w:hAnsi="Calibri" w:cs="Calibri"/>
                  <w:i/>
                  <w:iCs/>
                  <w:noProof/>
                </w:rPr>
                <w:t xml:space="preserve">Taking Digital Banking Beyond Customer Journeys.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https://www.bcg.com/publications/2022/customer-value-and-banking-in-the-digital-age</w:t>
              </w:r>
              <w:r w:rsidRPr="00405021">
                <w:rPr>
                  <w:rFonts w:ascii="Calibri" w:hAnsi="Calibri" w:cs="Calibri"/>
                  <w:noProof/>
                </w:rPr>
                <w:br/>
                <w:t>[Accessed 5 July 2022].</w:t>
              </w:r>
            </w:p>
            <w:p w14:paraId="78B0F69F"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Brochard, R., Drake, C., Botte, M.-C. &amp; McAdams, S., 1999. Perceptual organization of complex auditory sequences: Effect of number of simultaneous subsequences and frequency separation.. </w:t>
              </w:r>
              <w:r w:rsidRPr="00405021">
                <w:rPr>
                  <w:rFonts w:ascii="Calibri" w:hAnsi="Calibri" w:cs="Calibri"/>
                  <w:i/>
                  <w:iCs/>
                  <w:noProof/>
                </w:rPr>
                <w:t xml:space="preserve">American Psychological Association, </w:t>
              </w:r>
              <w:r w:rsidRPr="00405021">
                <w:rPr>
                  <w:rFonts w:ascii="Calibri" w:hAnsi="Calibri" w:cs="Calibri"/>
                  <w:noProof/>
                </w:rPr>
                <w:t>25(6), p. 1742–1759.</w:t>
              </w:r>
            </w:p>
            <w:p w14:paraId="37F22035"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BULUT, D. O. U., 2023. </w:t>
              </w:r>
              <w:r w:rsidRPr="00405021">
                <w:rPr>
                  <w:rFonts w:ascii="Calibri" w:hAnsi="Calibri" w:cs="Calibri"/>
                  <w:i/>
                  <w:iCs/>
                  <w:noProof/>
                </w:rPr>
                <w:t xml:space="preserve">ENHANCING MARKETING STRATEGIES THROUGH PERSONALIZED MARKETING: A LITERATURE REVIEW. </w:t>
              </w:r>
              <w:r w:rsidRPr="00405021">
                <w:rPr>
                  <w:rFonts w:ascii="Calibri" w:hAnsi="Calibri" w:cs="Calibri"/>
                  <w:noProof/>
                </w:rPr>
                <w:t>s.l.:YAZ Publications.</w:t>
              </w:r>
            </w:p>
            <w:p w14:paraId="5ECA6133"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Chen, R. P., Wan, E. W. &amp; Levy, E., 2017. The effect of social exclusion on consumer preference for anthropomorphized brands. </w:t>
              </w:r>
              <w:r w:rsidRPr="00405021">
                <w:rPr>
                  <w:rFonts w:ascii="Calibri" w:hAnsi="Calibri" w:cs="Calibri"/>
                  <w:i/>
                  <w:iCs/>
                  <w:noProof/>
                </w:rPr>
                <w:t xml:space="preserve">Society for Consumer Psychology, </w:t>
              </w:r>
              <w:r w:rsidRPr="00405021">
                <w:rPr>
                  <w:rFonts w:ascii="Calibri" w:hAnsi="Calibri" w:cs="Calibri"/>
                  <w:noProof/>
                </w:rPr>
                <w:t>27(1), pp. 23-24.</w:t>
              </w:r>
            </w:p>
            <w:p w14:paraId="14FFDA77"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Deloitte, 2025. </w:t>
              </w:r>
              <w:r w:rsidRPr="00405021">
                <w:rPr>
                  <w:rFonts w:ascii="Calibri" w:hAnsi="Calibri" w:cs="Calibri"/>
                  <w:i/>
                  <w:iCs/>
                  <w:noProof/>
                </w:rPr>
                <w:t xml:space="preserve">Shaping the future of payments: Trends and insights for 2025.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https://www2.deloitte.com/us/en/pages/financial-services/articles/infocus-payments-trends.html</w:t>
              </w:r>
              <w:r w:rsidRPr="00405021">
                <w:rPr>
                  <w:rFonts w:ascii="Calibri" w:hAnsi="Calibri" w:cs="Calibri"/>
                  <w:noProof/>
                </w:rPr>
                <w:br/>
                <w:t>[Accessed 2025].</w:t>
              </w:r>
            </w:p>
            <w:p w14:paraId="366CC127"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Gardner, B., Rebar, A. L. &amp; Lally, P., 2022. How does habit form? Guidelines for tracking real-world habit formation. </w:t>
              </w:r>
              <w:r w:rsidRPr="00405021">
                <w:rPr>
                  <w:rFonts w:ascii="Calibri" w:hAnsi="Calibri" w:cs="Calibri"/>
                  <w:i/>
                  <w:iCs/>
                  <w:noProof/>
                </w:rPr>
                <w:t xml:space="preserve">Cogent Psychology, </w:t>
              </w:r>
              <w:r w:rsidRPr="00405021">
                <w:rPr>
                  <w:rFonts w:ascii="Calibri" w:hAnsi="Calibri" w:cs="Calibri"/>
                  <w:noProof/>
                </w:rPr>
                <w:t>9(1), p. 277.</w:t>
              </w:r>
            </w:p>
            <w:p w14:paraId="053AB84F"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Heath, C. &amp; Soll, J. B., 1996. Mental Budgeting and Consumer Decisions. </w:t>
              </w:r>
              <w:r w:rsidRPr="00405021">
                <w:rPr>
                  <w:rFonts w:ascii="Calibri" w:hAnsi="Calibri" w:cs="Calibri"/>
                  <w:i/>
                  <w:iCs/>
                  <w:noProof/>
                </w:rPr>
                <w:t xml:space="preserve">Journal of Consumer Research, </w:t>
              </w:r>
              <w:r w:rsidRPr="00405021">
                <w:rPr>
                  <w:rFonts w:ascii="Calibri" w:hAnsi="Calibri" w:cs="Calibri"/>
                  <w:noProof/>
                </w:rPr>
                <w:t>23(1), pp. 40-52.</w:t>
              </w:r>
            </w:p>
            <w:p w14:paraId="38BD5896"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Kenton, W., 2024. </w:t>
              </w:r>
              <w:r w:rsidRPr="00405021">
                <w:rPr>
                  <w:rFonts w:ascii="Calibri" w:hAnsi="Calibri" w:cs="Calibri"/>
                  <w:i/>
                  <w:iCs/>
                  <w:noProof/>
                </w:rPr>
                <w:t xml:space="preserve">What Are Golden Handcuffs? Definition, Purpose, and Examples.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https://www.investopedia.com/terms/g/goldenhandcuffs.asp#:~:text=Golden%20handcuffs%20are%20a%20collection,a%20stipulated%20period%20of%20time.</w:t>
              </w:r>
              <w:r w:rsidRPr="00405021">
                <w:rPr>
                  <w:rFonts w:ascii="Calibri" w:hAnsi="Calibri" w:cs="Calibri"/>
                  <w:noProof/>
                </w:rPr>
                <w:br/>
                <w:t>[Accessed 17 October 2024].</w:t>
              </w:r>
            </w:p>
            <w:p w14:paraId="52FC3A93"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Kiviruusu, O., Huurre, T., Haukkala, A. &amp; Aro, H., 2012. Changes in psychological resources moderate the effect of socioeconomic status on distress symptoms: A 10-year follow-up among young adults.. </w:t>
              </w:r>
              <w:r w:rsidRPr="00405021">
                <w:rPr>
                  <w:rFonts w:ascii="Calibri" w:hAnsi="Calibri" w:cs="Calibri"/>
                  <w:i/>
                  <w:iCs/>
                  <w:noProof/>
                </w:rPr>
                <w:t xml:space="preserve">American Psychological Association, </w:t>
              </w:r>
              <w:r w:rsidRPr="00405021">
                <w:rPr>
                  <w:rFonts w:ascii="Calibri" w:hAnsi="Calibri" w:cs="Calibri"/>
                  <w:noProof/>
                </w:rPr>
                <w:t>32(6), p. 627–636.</w:t>
              </w:r>
            </w:p>
            <w:p w14:paraId="315FE934" w14:textId="77777777" w:rsidR="00405021" w:rsidRPr="00405021" w:rsidRDefault="00405021" w:rsidP="00405021">
              <w:pPr>
                <w:pStyle w:val="Bibliography"/>
                <w:rPr>
                  <w:rFonts w:ascii="Calibri" w:hAnsi="Calibri" w:cs="Calibri"/>
                  <w:noProof/>
                </w:rPr>
              </w:pPr>
              <w:r w:rsidRPr="00405021">
                <w:rPr>
                  <w:rFonts w:ascii="Calibri" w:hAnsi="Calibri" w:cs="Calibri"/>
                  <w:noProof/>
                </w:rPr>
                <w:lastRenderedPageBreak/>
                <w:t xml:space="preserve">Kogut, T., 2012. Knowing what I should, doing what I want: From selfishness to inequity aversion in young children’s sharing behavior. </w:t>
              </w:r>
              <w:r w:rsidRPr="00405021">
                <w:rPr>
                  <w:rFonts w:ascii="Calibri" w:hAnsi="Calibri" w:cs="Calibri"/>
                  <w:i/>
                  <w:iCs/>
                  <w:noProof/>
                </w:rPr>
                <w:t xml:space="preserve">Journal of Economic Psychology, </w:t>
              </w:r>
              <w:r w:rsidRPr="00405021">
                <w:rPr>
                  <w:rFonts w:ascii="Calibri" w:hAnsi="Calibri" w:cs="Calibri"/>
                  <w:noProof/>
                </w:rPr>
                <w:t>13(1), pp. 226-236.</w:t>
              </w:r>
            </w:p>
            <w:p w14:paraId="47823486"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McKinsey, 2024. </w:t>
              </w:r>
              <w:r w:rsidRPr="00405021">
                <w:rPr>
                  <w:rFonts w:ascii="Calibri" w:hAnsi="Calibri" w:cs="Calibri"/>
                  <w:i/>
                  <w:iCs/>
                  <w:noProof/>
                </w:rPr>
                <w:t xml:space="preserve">Global payments in 2024: Simpler interfaces, complex reality.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https://www.mckinsey.com/industries/financial-services/our-insights/global-payments-in-2024-simpler-interfaces-complex-reality</w:t>
              </w:r>
              <w:r w:rsidRPr="00405021">
                <w:rPr>
                  <w:rFonts w:ascii="Calibri" w:hAnsi="Calibri" w:cs="Calibri"/>
                  <w:noProof/>
                </w:rPr>
                <w:br/>
                <w:t>[Accessed 18 October 2024].</w:t>
              </w:r>
            </w:p>
            <w:p w14:paraId="6925E134"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Otterbacher, J., Pavlidou, V. &amp; Kleanthous, S., 2023. Fairness Issues in Algorithmic Digital Marketing: Marketers’ Perceptions. </w:t>
              </w:r>
              <w:r w:rsidRPr="00405021">
                <w:rPr>
                  <w:rFonts w:ascii="Calibri" w:hAnsi="Calibri" w:cs="Calibri"/>
                  <w:i/>
                  <w:iCs/>
                  <w:noProof/>
                </w:rPr>
                <w:t xml:space="preserve">Lecture Notes in Business Information Processing, </w:t>
              </w:r>
              <w:r w:rsidRPr="00405021">
                <w:rPr>
                  <w:rFonts w:ascii="Calibri" w:hAnsi="Calibri" w:cs="Calibri"/>
                  <w:noProof/>
                </w:rPr>
                <w:t>pp. 319-338.</w:t>
              </w:r>
            </w:p>
            <w:p w14:paraId="6D3D70A3"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Prelec, D. &amp; Loewenstein, G., 1998. The Red and the Black: Mental Accounting of Savings and Debt. </w:t>
              </w:r>
              <w:r w:rsidRPr="00405021">
                <w:rPr>
                  <w:rFonts w:ascii="Calibri" w:hAnsi="Calibri" w:cs="Calibri"/>
                  <w:i/>
                  <w:iCs/>
                  <w:noProof/>
                </w:rPr>
                <w:t xml:space="preserve">Institute for Operations Research and the Management Sciences, </w:t>
              </w:r>
              <w:r w:rsidRPr="00405021">
                <w:rPr>
                  <w:rFonts w:ascii="Calibri" w:hAnsi="Calibri" w:cs="Calibri"/>
                  <w:noProof/>
                </w:rPr>
                <w:t>17(1), pp. 4-89.</w:t>
              </w:r>
            </w:p>
            <w:p w14:paraId="69171ADE"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Tanhaei, H. G., Boozary, P., Sheykhan, S. &amp; Rabiee, M., 2024. Predictive Analytics in Customer Behavior: Anticipating Trends and Preferences. </w:t>
              </w:r>
              <w:r w:rsidRPr="00405021">
                <w:rPr>
                  <w:rFonts w:ascii="Calibri" w:hAnsi="Calibri" w:cs="Calibri"/>
                  <w:i/>
                  <w:iCs/>
                  <w:noProof/>
                </w:rPr>
                <w:t xml:space="preserve">Results in Control and Optimization, </w:t>
              </w:r>
              <w:r w:rsidRPr="00405021">
                <w:rPr>
                  <w:rFonts w:ascii="Calibri" w:hAnsi="Calibri" w:cs="Calibri"/>
                  <w:noProof/>
                </w:rPr>
                <w:t>Volume 17, pp. 462-466.</w:t>
              </w:r>
            </w:p>
            <w:p w14:paraId="366EA804" w14:textId="77777777" w:rsidR="00405021" w:rsidRPr="00405021" w:rsidRDefault="00405021" w:rsidP="00405021">
              <w:pPr>
                <w:pStyle w:val="Bibliography"/>
                <w:rPr>
                  <w:rFonts w:ascii="Calibri" w:hAnsi="Calibri" w:cs="Calibri"/>
                  <w:noProof/>
                </w:rPr>
              </w:pPr>
              <w:r w:rsidRPr="00405021">
                <w:rPr>
                  <w:rFonts w:ascii="Calibri" w:hAnsi="Calibri" w:cs="Calibri"/>
                  <w:noProof/>
                </w:rPr>
                <w:t xml:space="preserve">Trevisan, V., 2022. </w:t>
              </w:r>
              <w:r w:rsidRPr="00405021">
                <w:rPr>
                  <w:rFonts w:ascii="Calibri" w:hAnsi="Calibri" w:cs="Calibri"/>
                  <w:i/>
                  <w:iCs/>
                  <w:noProof/>
                </w:rPr>
                <w:t xml:space="preserve">Using SHAP Values to Explain How Your Machine Learning Model Works. </w:t>
              </w:r>
              <w:r w:rsidRPr="00405021">
                <w:rPr>
                  <w:rFonts w:ascii="Calibri" w:hAnsi="Calibri" w:cs="Calibri"/>
                  <w:noProof/>
                </w:rPr>
                <w:t xml:space="preserve">[Online] </w:t>
              </w:r>
              <w:r w:rsidRPr="00405021">
                <w:rPr>
                  <w:rFonts w:ascii="Calibri" w:hAnsi="Calibri" w:cs="Calibri"/>
                  <w:noProof/>
                </w:rPr>
                <w:br/>
                <w:t xml:space="preserve">Available at: </w:t>
              </w:r>
              <w:r w:rsidRPr="00405021">
                <w:rPr>
                  <w:rFonts w:ascii="Calibri" w:hAnsi="Calibri" w:cs="Calibri"/>
                  <w:noProof/>
                  <w:u w:val="single"/>
                </w:rPr>
                <w:t>https://towardsdatascience.com/using-shap-values-to-explain-how-your-machine-learning-model-works-732b3f40e137/</w:t>
              </w:r>
              <w:r w:rsidRPr="00405021">
                <w:rPr>
                  <w:rFonts w:ascii="Calibri" w:hAnsi="Calibri" w:cs="Calibri"/>
                  <w:noProof/>
                </w:rPr>
                <w:br/>
                <w:t>[Accessed 17 January 2022].</w:t>
              </w:r>
            </w:p>
            <w:p w14:paraId="6FCE4D92" w14:textId="29383D81" w:rsidR="00821BCB" w:rsidRPr="00405021" w:rsidRDefault="00821BCB" w:rsidP="00405021">
              <w:pPr>
                <w:rPr>
                  <w:rFonts w:ascii="Calibri" w:hAnsi="Calibri" w:cs="Calibri"/>
                </w:rPr>
              </w:pPr>
              <w:r w:rsidRPr="00405021">
                <w:rPr>
                  <w:rFonts w:ascii="Calibri" w:hAnsi="Calibri" w:cs="Calibri"/>
                  <w:noProof/>
                </w:rPr>
                <w:fldChar w:fldCharType="end"/>
              </w:r>
            </w:p>
          </w:sdtContent>
        </w:sdt>
      </w:sdtContent>
    </w:sdt>
    <w:p w14:paraId="404E75B6" w14:textId="2ED20F87" w:rsidR="004C28B9" w:rsidRPr="00405021" w:rsidRDefault="00D42083" w:rsidP="001F73CC">
      <w:pPr>
        <w:pStyle w:val="Heading1"/>
        <w:rPr>
          <w:rFonts w:ascii="Calibri" w:hAnsi="Calibri" w:cs="Calibri"/>
        </w:rPr>
      </w:pPr>
      <w:bookmarkStart w:id="39" w:name="_Toc197375904"/>
      <w:r w:rsidRPr="00405021">
        <w:rPr>
          <w:rFonts w:ascii="Calibri" w:hAnsi="Calibri" w:cs="Calibri"/>
        </w:rPr>
        <w:t>Appendix</w:t>
      </w:r>
      <w:bookmarkEnd w:id="39"/>
    </w:p>
    <w:p w14:paraId="6DE7CC99" w14:textId="3B087435" w:rsidR="001F73CC" w:rsidRPr="00405021" w:rsidRDefault="00E51E8F" w:rsidP="001F73CC">
      <w:pPr>
        <w:rPr>
          <w:rFonts w:ascii="Calibri" w:hAnsi="Calibri" w:cs="Calibri"/>
        </w:rPr>
      </w:pPr>
      <w:r w:rsidRPr="00771641">
        <w:rPr>
          <w:rFonts w:ascii="Calibri" w:hAnsi="Calibri" w:cs="Calibri"/>
          <w:b/>
          <w:bCs/>
          <w:sz w:val="28"/>
          <w:szCs w:val="28"/>
        </w:rPr>
        <w:t>R code</w:t>
      </w:r>
      <w:r w:rsidRPr="00405021">
        <w:rPr>
          <w:rFonts w:ascii="Calibri" w:hAnsi="Calibri" w:cs="Calibri"/>
        </w:rPr>
        <w:t>:</w:t>
      </w:r>
      <w:r w:rsidRPr="00405021">
        <w:rPr>
          <w:rFonts w:ascii="Calibri" w:hAnsi="Calibri" w:cs="Calibri"/>
        </w:rPr>
        <w:br/>
      </w:r>
    </w:p>
    <w:p w14:paraId="1D5720A1" w14:textId="0C39B4CE" w:rsidR="00D42083" w:rsidRPr="00405021" w:rsidRDefault="001F73CC" w:rsidP="00E51E8F">
      <w:pPr>
        <w:rPr>
          <w:rFonts w:ascii="Calibri" w:hAnsi="Calibri" w:cs="Calibri"/>
        </w:rPr>
      </w:pPr>
      <w:r w:rsidRPr="00405021">
        <w:rPr>
          <w:rFonts w:ascii="Calibri" w:hAnsi="Calibri" w:cs="Calibri"/>
          <w:noProof/>
        </w:rPr>
        <w:lastRenderedPageBreak/>
        <w:drawing>
          <wp:inline distT="0" distB="0" distL="0" distR="0" wp14:anchorId="1CD9FBF0" wp14:editId="20349E80">
            <wp:extent cx="5731510" cy="3557905"/>
            <wp:effectExtent l="0" t="0" r="2540" b="4445"/>
            <wp:docPr id="1764944311"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4311" name="Picture 2" descr="A screenshot of a computer cod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382570D5" w14:textId="77777777" w:rsidR="001F73CC" w:rsidRPr="00405021" w:rsidRDefault="001F73CC" w:rsidP="00E51E8F">
      <w:pPr>
        <w:rPr>
          <w:rFonts w:ascii="Calibri" w:hAnsi="Calibri" w:cs="Calibri"/>
        </w:rPr>
      </w:pPr>
    </w:p>
    <w:p w14:paraId="69D0E9D2" w14:textId="3C513A60" w:rsidR="001F73CC" w:rsidRPr="00405021" w:rsidRDefault="001F73CC" w:rsidP="00E51E8F">
      <w:pPr>
        <w:rPr>
          <w:rFonts w:ascii="Calibri" w:hAnsi="Calibri" w:cs="Calibri"/>
        </w:rPr>
      </w:pPr>
      <w:r w:rsidRPr="00405021">
        <w:rPr>
          <w:rFonts w:ascii="Calibri" w:hAnsi="Calibri" w:cs="Calibri"/>
          <w:noProof/>
        </w:rPr>
        <w:drawing>
          <wp:inline distT="0" distB="0" distL="0" distR="0" wp14:anchorId="1339590F" wp14:editId="273C2B74">
            <wp:extent cx="5731510" cy="2940685"/>
            <wp:effectExtent l="0" t="0" r="2540" b="0"/>
            <wp:docPr id="1079745542"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5542" name="Picture 3" descr="A screenshot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3D7D086E" w14:textId="77777777" w:rsidR="001F73CC" w:rsidRPr="00405021" w:rsidRDefault="001F73CC" w:rsidP="00E51E8F">
      <w:pPr>
        <w:rPr>
          <w:rFonts w:ascii="Calibri" w:hAnsi="Calibri" w:cs="Calibri"/>
        </w:rPr>
      </w:pPr>
    </w:p>
    <w:p w14:paraId="5CB5BC74" w14:textId="30941578" w:rsidR="001F73CC" w:rsidRPr="00405021" w:rsidRDefault="001F73CC" w:rsidP="00E51E8F">
      <w:pPr>
        <w:rPr>
          <w:rFonts w:ascii="Calibri" w:hAnsi="Calibri" w:cs="Calibri"/>
        </w:rPr>
      </w:pPr>
      <w:r w:rsidRPr="00405021">
        <w:rPr>
          <w:rFonts w:ascii="Calibri" w:hAnsi="Calibri" w:cs="Calibri"/>
          <w:noProof/>
        </w:rPr>
        <w:lastRenderedPageBreak/>
        <w:drawing>
          <wp:inline distT="0" distB="0" distL="0" distR="0" wp14:anchorId="3C0877B5" wp14:editId="072FA4F6">
            <wp:extent cx="5731510" cy="3571875"/>
            <wp:effectExtent l="0" t="0" r="2540" b="9525"/>
            <wp:docPr id="104884693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46936" name="Picture 4"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03FBE4CB" w14:textId="77777777" w:rsidR="001F73CC" w:rsidRPr="00405021" w:rsidRDefault="001F73CC" w:rsidP="00E51E8F">
      <w:pPr>
        <w:rPr>
          <w:rFonts w:ascii="Calibri" w:hAnsi="Calibri" w:cs="Calibri"/>
        </w:rPr>
      </w:pPr>
    </w:p>
    <w:p w14:paraId="11B922CF" w14:textId="4226E4B9" w:rsidR="001F73CC" w:rsidRPr="00405021" w:rsidRDefault="001F73CC" w:rsidP="00E51E8F">
      <w:pPr>
        <w:rPr>
          <w:rFonts w:ascii="Calibri" w:hAnsi="Calibri" w:cs="Calibri"/>
        </w:rPr>
      </w:pPr>
      <w:r w:rsidRPr="00405021">
        <w:rPr>
          <w:rFonts w:ascii="Calibri" w:hAnsi="Calibri" w:cs="Calibri"/>
          <w:noProof/>
        </w:rPr>
        <w:drawing>
          <wp:inline distT="0" distB="0" distL="0" distR="0" wp14:anchorId="69216F70" wp14:editId="4E77E615">
            <wp:extent cx="5731510" cy="3526790"/>
            <wp:effectExtent l="0" t="0" r="2540" b="0"/>
            <wp:docPr id="1330398727"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98727" name="Picture 6" descr="A computer screen shot of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09AEB24C" w14:textId="77777777" w:rsidR="001F73CC" w:rsidRPr="00405021" w:rsidRDefault="001F73CC" w:rsidP="00E51E8F">
      <w:pPr>
        <w:rPr>
          <w:rFonts w:ascii="Calibri" w:hAnsi="Calibri" w:cs="Calibri"/>
        </w:rPr>
      </w:pPr>
    </w:p>
    <w:p w14:paraId="2ADBFE67" w14:textId="295A46BD" w:rsidR="001F73CC" w:rsidRPr="00405021" w:rsidRDefault="001F73CC" w:rsidP="00E51E8F">
      <w:pPr>
        <w:rPr>
          <w:rFonts w:ascii="Calibri" w:hAnsi="Calibri" w:cs="Calibri"/>
        </w:rPr>
      </w:pPr>
      <w:r w:rsidRPr="00405021">
        <w:rPr>
          <w:rFonts w:ascii="Calibri" w:hAnsi="Calibri" w:cs="Calibri"/>
          <w:noProof/>
        </w:rPr>
        <w:lastRenderedPageBreak/>
        <w:drawing>
          <wp:inline distT="0" distB="0" distL="0" distR="0" wp14:anchorId="075893E9" wp14:editId="0B243B7F">
            <wp:extent cx="5731510" cy="2480945"/>
            <wp:effectExtent l="0" t="0" r="2540" b="0"/>
            <wp:docPr id="402101274" name="Picture 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1274" name="Picture 8" descr="A computer screen shot of a computer cod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sectPr w:rsidR="001F73CC" w:rsidRPr="004050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304CA" w14:textId="77777777" w:rsidR="00702C02" w:rsidRDefault="00702C02" w:rsidP="002C4CF3">
      <w:pPr>
        <w:spacing w:after="0" w:line="240" w:lineRule="auto"/>
      </w:pPr>
      <w:r>
        <w:separator/>
      </w:r>
    </w:p>
  </w:endnote>
  <w:endnote w:type="continuationSeparator" w:id="0">
    <w:p w14:paraId="2F640DDF" w14:textId="77777777" w:rsidR="00702C02" w:rsidRDefault="00702C02" w:rsidP="002C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D18E7" w14:textId="77777777" w:rsidR="00702C02" w:rsidRDefault="00702C02" w:rsidP="002C4CF3">
      <w:pPr>
        <w:spacing w:after="0" w:line="240" w:lineRule="auto"/>
      </w:pPr>
      <w:r>
        <w:separator/>
      </w:r>
    </w:p>
  </w:footnote>
  <w:footnote w:type="continuationSeparator" w:id="0">
    <w:p w14:paraId="04BEC229" w14:textId="77777777" w:rsidR="00702C02" w:rsidRDefault="00702C02" w:rsidP="002C4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8CA"/>
    <w:multiLevelType w:val="hybridMultilevel"/>
    <w:tmpl w:val="71181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04F9E"/>
    <w:multiLevelType w:val="multilevel"/>
    <w:tmpl w:val="4946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E12D3"/>
    <w:multiLevelType w:val="multilevel"/>
    <w:tmpl w:val="95F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82B93"/>
    <w:multiLevelType w:val="multilevel"/>
    <w:tmpl w:val="BF8A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44830"/>
    <w:multiLevelType w:val="multilevel"/>
    <w:tmpl w:val="34FA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4745F"/>
    <w:multiLevelType w:val="multilevel"/>
    <w:tmpl w:val="667A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07978"/>
    <w:multiLevelType w:val="multilevel"/>
    <w:tmpl w:val="63E4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87EDB"/>
    <w:multiLevelType w:val="multilevel"/>
    <w:tmpl w:val="B14E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61890"/>
    <w:multiLevelType w:val="multilevel"/>
    <w:tmpl w:val="108A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653E9"/>
    <w:multiLevelType w:val="multilevel"/>
    <w:tmpl w:val="BFAE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2240E"/>
    <w:multiLevelType w:val="multilevel"/>
    <w:tmpl w:val="EE3E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3624E"/>
    <w:multiLevelType w:val="multilevel"/>
    <w:tmpl w:val="1EC8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C568D"/>
    <w:multiLevelType w:val="multilevel"/>
    <w:tmpl w:val="4A20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D03CC1"/>
    <w:multiLevelType w:val="multilevel"/>
    <w:tmpl w:val="ED8C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7B6A7F"/>
    <w:multiLevelType w:val="multilevel"/>
    <w:tmpl w:val="B562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91ABC"/>
    <w:multiLevelType w:val="multilevel"/>
    <w:tmpl w:val="C8A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D5688"/>
    <w:multiLevelType w:val="multilevel"/>
    <w:tmpl w:val="E41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97702"/>
    <w:multiLevelType w:val="multilevel"/>
    <w:tmpl w:val="D8DA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8362F"/>
    <w:multiLevelType w:val="multilevel"/>
    <w:tmpl w:val="BE5EA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992D3E"/>
    <w:multiLevelType w:val="multilevel"/>
    <w:tmpl w:val="9EF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853A0"/>
    <w:multiLevelType w:val="multilevel"/>
    <w:tmpl w:val="E97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7062B"/>
    <w:multiLevelType w:val="hybridMultilevel"/>
    <w:tmpl w:val="9CA61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D83014"/>
    <w:multiLevelType w:val="multilevel"/>
    <w:tmpl w:val="5E38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D2C6D"/>
    <w:multiLevelType w:val="multilevel"/>
    <w:tmpl w:val="F8429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362E6E"/>
    <w:multiLevelType w:val="hybridMultilevel"/>
    <w:tmpl w:val="BCA48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4811DA"/>
    <w:multiLevelType w:val="hybridMultilevel"/>
    <w:tmpl w:val="1CA0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2509738">
    <w:abstractNumId w:val="18"/>
  </w:num>
  <w:num w:numId="2" w16cid:durableId="1483430205">
    <w:abstractNumId w:val="22"/>
  </w:num>
  <w:num w:numId="3" w16cid:durableId="1042679240">
    <w:abstractNumId w:val="9"/>
  </w:num>
  <w:num w:numId="4" w16cid:durableId="1840999752">
    <w:abstractNumId w:val="1"/>
  </w:num>
  <w:num w:numId="5" w16cid:durableId="1186868614">
    <w:abstractNumId w:val="8"/>
  </w:num>
  <w:num w:numId="6" w16cid:durableId="424880236">
    <w:abstractNumId w:val="7"/>
  </w:num>
  <w:num w:numId="7" w16cid:durableId="722486974">
    <w:abstractNumId w:val="15"/>
  </w:num>
  <w:num w:numId="8" w16cid:durableId="1365904078">
    <w:abstractNumId w:val="20"/>
  </w:num>
  <w:num w:numId="9" w16cid:durableId="819931537">
    <w:abstractNumId w:val="12"/>
  </w:num>
  <w:num w:numId="10" w16cid:durableId="1155029361">
    <w:abstractNumId w:val="13"/>
  </w:num>
  <w:num w:numId="11" w16cid:durableId="1516772768">
    <w:abstractNumId w:val="19"/>
  </w:num>
  <w:num w:numId="12" w16cid:durableId="2009163546">
    <w:abstractNumId w:val="11"/>
  </w:num>
  <w:num w:numId="13" w16cid:durableId="328754643">
    <w:abstractNumId w:val="3"/>
  </w:num>
  <w:num w:numId="14" w16cid:durableId="1637031123">
    <w:abstractNumId w:val="6"/>
  </w:num>
  <w:num w:numId="15" w16cid:durableId="711658458">
    <w:abstractNumId w:val="4"/>
  </w:num>
  <w:num w:numId="16" w16cid:durableId="1943144880">
    <w:abstractNumId w:val="23"/>
  </w:num>
  <w:num w:numId="17" w16cid:durableId="1639608954">
    <w:abstractNumId w:val="16"/>
  </w:num>
  <w:num w:numId="18" w16cid:durableId="735663107">
    <w:abstractNumId w:val="2"/>
  </w:num>
  <w:num w:numId="19" w16cid:durableId="658969183">
    <w:abstractNumId w:val="10"/>
  </w:num>
  <w:num w:numId="20" w16cid:durableId="1769543355">
    <w:abstractNumId w:val="17"/>
  </w:num>
  <w:num w:numId="21" w16cid:durableId="888343673">
    <w:abstractNumId w:val="14"/>
  </w:num>
  <w:num w:numId="22" w16cid:durableId="804464423">
    <w:abstractNumId w:val="5"/>
  </w:num>
  <w:num w:numId="23" w16cid:durableId="1809782799">
    <w:abstractNumId w:val="25"/>
  </w:num>
  <w:num w:numId="24" w16cid:durableId="196042125">
    <w:abstractNumId w:val="0"/>
  </w:num>
  <w:num w:numId="25" w16cid:durableId="611286250">
    <w:abstractNumId w:val="24"/>
  </w:num>
  <w:num w:numId="26" w16cid:durableId="21026055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B6E"/>
    <w:rsid w:val="0001357B"/>
    <w:rsid w:val="00020724"/>
    <w:rsid w:val="00024C4E"/>
    <w:rsid w:val="00043888"/>
    <w:rsid w:val="00044A63"/>
    <w:rsid w:val="000454B2"/>
    <w:rsid w:val="00062A36"/>
    <w:rsid w:val="00083E8E"/>
    <w:rsid w:val="00090416"/>
    <w:rsid w:val="00092459"/>
    <w:rsid w:val="00094396"/>
    <w:rsid w:val="000A3F46"/>
    <w:rsid w:val="000B1735"/>
    <w:rsid w:val="000C04A8"/>
    <w:rsid w:val="000C0522"/>
    <w:rsid w:val="000C1C81"/>
    <w:rsid w:val="000C41F8"/>
    <w:rsid w:val="000C50E3"/>
    <w:rsid w:val="000D6EAF"/>
    <w:rsid w:val="00106E57"/>
    <w:rsid w:val="00110D5D"/>
    <w:rsid w:val="00111E21"/>
    <w:rsid w:val="00120852"/>
    <w:rsid w:val="00137C0A"/>
    <w:rsid w:val="00137CA3"/>
    <w:rsid w:val="001517AA"/>
    <w:rsid w:val="0015637C"/>
    <w:rsid w:val="001620E6"/>
    <w:rsid w:val="00165B40"/>
    <w:rsid w:val="0016763C"/>
    <w:rsid w:val="0017499B"/>
    <w:rsid w:val="001779A2"/>
    <w:rsid w:val="00184F3B"/>
    <w:rsid w:val="001B73EF"/>
    <w:rsid w:val="001C42ED"/>
    <w:rsid w:val="001C436B"/>
    <w:rsid w:val="001E22B9"/>
    <w:rsid w:val="001F2FBD"/>
    <w:rsid w:val="001F73CC"/>
    <w:rsid w:val="00201D21"/>
    <w:rsid w:val="00222B40"/>
    <w:rsid w:val="002328A1"/>
    <w:rsid w:val="002440CA"/>
    <w:rsid w:val="00245802"/>
    <w:rsid w:val="00255261"/>
    <w:rsid w:val="0027732A"/>
    <w:rsid w:val="0028091C"/>
    <w:rsid w:val="00286F54"/>
    <w:rsid w:val="002B6416"/>
    <w:rsid w:val="002C4CF3"/>
    <w:rsid w:val="002D65D5"/>
    <w:rsid w:val="0032177C"/>
    <w:rsid w:val="00344786"/>
    <w:rsid w:val="00361350"/>
    <w:rsid w:val="003926A5"/>
    <w:rsid w:val="003B6DB0"/>
    <w:rsid w:val="003B6E31"/>
    <w:rsid w:val="003C14E6"/>
    <w:rsid w:val="003C6B3E"/>
    <w:rsid w:val="003D1274"/>
    <w:rsid w:val="003D32D4"/>
    <w:rsid w:val="003E6EB4"/>
    <w:rsid w:val="003F1205"/>
    <w:rsid w:val="003F4D60"/>
    <w:rsid w:val="00405021"/>
    <w:rsid w:val="00405E33"/>
    <w:rsid w:val="00415576"/>
    <w:rsid w:val="0041638A"/>
    <w:rsid w:val="00452A64"/>
    <w:rsid w:val="00467026"/>
    <w:rsid w:val="00474015"/>
    <w:rsid w:val="004A46D8"/>
    <w:rsid w:val="004B7DE7"/>
    <w:rsid w:val="004C00FD"/>
    <w:rsid w:val="004C28B9"/>
    <w:rsid w:val="004F1976"/>
    <w:rsid w:val="004F1B6E"/>
    <w:rsid w:val="004F5039"/>
    <w:rsid w:val="00511340"/>
    <w:rsid w:val="0052327D"/>
    <w:rsid w:val="00526FDF"/>
    <w:rsid w:val="0054115C"/>
    <w:rsid w:val="00556993"/>
    <w:rsid w:val="00572DD9"/>
    <w:rsid w:val="005A278A"/>
    <w:rsid w:val="005C2B8A"/>
    <w:rsid w:val="005D674C"/>
    <w:rsid w:val="00610048"/>
    <w:rsid w:val="0062513F"/>
    <w:rsid w:val="00631082"/>
    <w:rsid w:val="00636C54"/>
    <w:rsid w:val="00654C29"/>
    <w:rsid w:val="00667EB9"/>
    <w:rsid w:val="00676008"/>
    <w:rsid w:val="006A0AE7"/>
    <w:rsid w:val="006A63F9"/>
    <w:rsid w:val="006A72A1"/>
    <w:rsid w:val="006B2863"/>
    <w:rsid w:val="006B5624"/>
    <w:rsid w:val="006E053B"/>
    <w:rsid w:val="006E3916"/>
    <w:rsid w:val="006F3CBC"/>
    <w:rsid w:val="00702C02"/>
    <w:rsid w:val="00711FEE"/>
    <w:rsid w:val="00712963"/>
    <w:rsid w:val="0071475E"/>
    <w:rsid w:val="00716DBF"/>
    <w:rsid w:val="00722AA0"/>
    <w:rsid w:val="00725425"/>
    <w:rsid w:val="00725CE7"/>
    <w:rsid w:val="0073290B"/>
    <w:rsid w:val="00763725"/>
    <w:rsid w:val="00770764"/>
    <w:rsid w:val="00771641"/>
    <w:rsid w:val="00772771"/>
    <w:rsid w:val="007A14F8"/>
    <w:rsid w:val="007A4A12"/>
    <w:rsid w:val="007B63AB"/>
    <w:rsid w:val="007C2134"/>
    <w:rsid w:val="007C6F18"/>
    <w:rsid w:val="007E1904"/>
    <w:rsid w:val="007E3E50"/>
    <w:rsid w:val="007F4E9F"/>
    <w:rsid w:val="0080048D"/>
    <w:rsid w:val="00805F2A"/>
    <w:rsid w:val="00816EEC"/>
    <w:rsid w:val="00821BCB"/>
    <w:rsid w:val="008319A3"/>
    <w:rsid w:val="008357BF"/>
    <w:rsid w:val="00850348"/>
    <w:rsid w:val="00892D49"/>
    <w:rsid w:val="008C0CF0"/>
    <w:rsid w:val="008C24BB"/>
    <w:rsid w:val="008C36FC"/>
    <w:rsid w:val="008C6586"/>
    <w:rsid w:val="008D2820"/>
    <w:rsid w:val="008E056E"/>
    <w:rsid w:val="008E1E45"/>
    <w:rsid w:val="008F1B32"/>
    <w:rsid w:val="00912DFA"/>
    <w:rsid w:val="0092455A"/>
    <w:rsid w:val="0096244F"/>
    <w:rsid w:val="009A07B8"/>
    <w:rsid w:val="009A2D04"/>
    <w:rsid w:val="009B16DD"/>
    <w:rsid w:val="009C2160"/>
    <w:rsid w:val="009C28E0"/>
    <w:rsid w:val="009C3C86"/>
    <w:rsid w:val="009C45B5"/>
    <w:rsid w:val="009D2761"/>
    <w:rsid w:val="009D296D"/>
    <w:rsid w:val="009D72F7"/>
    <w:rsid w:val="009F10C5"/>
    <w:rsid w:val="009F56BE"/>
    <w:rsid w:val="00A17B73"/>
    <w:rsid w:val="00A22899"/>
    <w:rsid w:val="00A57264"/>
    <w:rsid w:val="00A626F1"/>
    <w:rsid w:val="00A7711F"/>
    <w:rsid w:val="00A874F0"/>
    <w:rsid w:val="00A95707"/>
    <w:rsid w:val="00A95EEB"/>
    <w:rsid w:val="00AA6628"/>
    <w:rsid w:val="00AD7F9F"/>
    <w:rsid w:val="00B003A3"/>
    <w:rsid w:val="00B010C6"/>
    <w:rsid w:val="00B10D6E"/>
    <w:rsid w:val="00B333F2"/>
    <w:rsid w:val="00B52DB7"/>
    <w:rsid w:val="00B551E6"/>
    <w:rsid w:val="00B66E7B"/>
    <w:rsid w:val="00B66EE7"/>
    <w:rsid w:val="00B72EA3"/>
    <w:rsid w:val="00BB452B"/>
    <w:rsid w:val="00BC14FE"/>
    <w:rsid w:val="00BC401D"/>
    <w:rsid w:val="00BE0461"/>
    <w:rsid w:val="00C15550"/>
    <w:rsid w:val="00C208EE"/>
    <w:rsid w:val="00C45594"/>
    <w:rsid w:val="00C52660"/>
    <w:rsid w:val="00C80D29"/>
    <w:rsid w:val="00CB5AE7"/>
    <w:rsid w:val="00CB6B29"/>
    <w:rsid w:val="00CF19CD"/>
    <w:rsid w:val="00D42083"/>
    <w:rsid w:val="00D4404D"/>
    <w:rsid w:val="00D67F99"/>
    <w:rsid w:val="00D72BE0"/>
    <w:rsid w:val="00D82C18"/>
    <w:rsid w:val="00D92286"/>
    <w:rsid w:val="00DA327D"/>
    <w:rsid w:val="00DC33B3"/>
    <w:rsid w:val="00DE4C91"/>
    <w:rsid w:val="00DF6F22"/>
    <w:rsid w:val="00DF7C33"/>
    <w:rsid w:val="00E02083"/>
    <w:rsid w:val="00E060AB"/>
    <w:rsid w:val="00E17A82"/>
    <w:rsid w:val="00E51E8F"/>
    <w:rsid w:val="00E74504"/>
    <w:rsid w:val="00E80F65"/>
    <w:rsid w:val="00E954BB"/>
    <w:rsid w:val="00EB3218"/>
    <w:rsid w:val="00EB4495"/>
    <w:rsid w:val="00EC187C"/>
    <w:rsid w:val="00EF1B63"/>
    <w:rsid w:val="00EF6D7B"/>
    <w:rsid w:val="00F10ED2"/>
    <w:rsid w:val="00F1753C"/>
    <w:rsid w:val="00F17843"/>
    <w:rsid w:val="00F23325"/>
    <w:rsid w:val="00F25C2C"/>
    <w:rsid w:val="00F63264"/>
    <w:rsid w:val="00F770B1"/>
    <w:rsid w:val="00FB626D"/>
    <w:rsid w:val="00FD683B"/>
    <w:rsid w:val="00FD7BA0"/>
    <w:rsid w:val="00FE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C12BEF"/>
  <w15:chartTrackingRefBased/>
  <w15:docId w15:val="{69BA2A58-EBF9-457B-A2FB-F0317F561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1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1B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1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B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B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B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B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1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1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1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B6E"/>
    <w:rPr>
      <w:rFonts w:eastAsiaTheme="majorEastAsia" w:cstheme="majorBidi"/>
      <w:color w:val="272727" w:themeColor="text1" w:themeTint="D8"/>
    </w:rPr>
  </w:style>
  <w:style w:type="paragraph" w:styleId="Title">
    <w:name w:val="Title"/>
    <w:basedOn w:val="Normal"/>
    <w:next w:val="Normal"/>
    <w:link w:val="TitleChar"/>
    <w:uiPriority w:val="10"/>
    <w:qFormat/>
    <w:rsid w:val="004F1B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B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B6E"/>
    <w:pPr>
      <w:spacing w:before="160"/>
      <w:jc w:val="center"/>
    </w:pPr>
    <w:rPr>
      <w:i/>
      <w:iCs/>
      <w:color w:val="404040" w:themeColor="text1" w:themeTint="BF"/>
    </w:rPr>
  </w:style>
  <w:style w:type="character" w:customStyle="1" w:styleId="QuoteChar">
    <w:name w:val="Quote Char"/>
    <w:basedOn w:val="DefaultParagraphFont"/>
    <w:link w:val="Quote"/>
    <w:uiPriority w:val="29"/>
    <w:rsid w:val="004F1B6E"/>
    <w:rPr>
      <w:i/>
      <w:iCs/>
      <w:color w:val="404040" w:themeColor="text1" w:themeTint="BF"/>
    </w:rPr>
  </w:style>
  <w:style w:type="paragraph" w:styleId="ListParagraph">
    <w:name w:val="List Paragraph"/>
    <w:basedOn w:val="Normal"/>
    <w:uiPriority w:val="34"/>
    <w:qFormat/>
    <w:rsid w:val="004F1B6E"/>
    <w:pPr>
      <w:ind w:left="720"/>
      <w:contextualSpacing/>
    </w:pPr>
  </w:style>
  <w:style w:type="character" w:styleId="IntenseEmphasis">
    <w:name w:val="Intense Emphasis"/>
    <w:basedOn w:val="DefaultParagraphFont"/>
    <w:uiPriority w:val="21"/>
    <w:qFormat/>
    <w:rsid w:val="004F1B6E"/>
    <w:rPr>
      <w:i/>
      <w:iCs/>
      <w:color w:val="0F4761" w:themeColor="accent1" w:themeShade="BF"/>
    </w:rPr>
  </w:style>
  <w:style w:type="paragraph" w:styleId="IntenseQuote">
    <w:name w:val="Intense Quote"/>
    <w:basedOn w:val="Normal"/>
    <w:next w:val="Normal"/>
    <w:link w:val="IntenseQuoteChar"/>
    <w:uiPriority w:val="30"/>
    <w:qFormat/>
    <w:rsid w:val="004F1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B6E"/>
    <w:rPr>
      <w:i/>
      <w:iCs/>
      <w:color w:val="0F4761" w:themeColor="accent1" w:themeShade="BF"/>
    </w:rPr>
  </w:style>
  <w:style w:type="character" w:styleId="IntenseReference">
    <w:name w:val="Intense Reference"/>
    <w:basedOn w:val="DefaultParagraphFont"/>
    <w:uiPriority w:val="32"/>
    <w:qFormat/>
    <w:rsid w:val="004F1B6E"/>
    <w:rPr>
      <w:b/>
      <w:bCs/>
      <w:smallCaps/>
      <w:color w:val="0F4761" w:themeColor="accent1" w:themeShade="BF"/>
      <w:spacing w:val="5"/>
    </w:rPr>
  </w:style>
  <w:style w:type="character" w:customStyle="1" w:styleId="textlayer--absolute">
    <w:name w:val="textlayer--absolute"/>
    <w:basedOn w:val="DefaultParagraphFont"/>
    <w:rsid w:val="004F1B6E"/>
  </w:style>
  <w:style w:type="paragraph" w:styleId="NormalWeb">
    <w:name w:val="Normal (Web)"/>
    <w:basedOn w:val="Normal"/>
    <w:uiPriority w:val="99"/>
    <w:unhideWhenUsed/>
    <w:rsid w:val="004F1B6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82C18"/>
    <w:rPr>
      <w:b/>
      <w:bCs/>
    </w:rPr>
  </w:style>
  <w:style w:type="character" w:styleId="Emphasis">
    <w:name w:val="Emphasis"/>
    <w:basedOn w:val="DefaultParagraphFont"/>
    <w:uiPriority w:val="20"/>
    <w:qFormat/>
    <w:rsid w:val="00D82C18"/>
    <w:rPr>
      <w:i/>
      <w:iCs/>
    </w:rPr>
  </w:style>
  <w:style w:type="character" w:styleId="Hyperlink">
    <w:name w:val="Hyperlink"/>
    <w:basedOn w:val="DefaultParagraphFont"/>
    <w:uiPriority w:val="99"/>
    <w:unhideWhenUsed/>
    <w:rsid w:val="00BC14FE"/>
    <w:rPr>
      <w:color w:val="0000FF"/>
      <w:u w:val="single"/>
    </w:rPr>
  </w:style>
  <w:style w:type="character" w:styleId="HTMLCode">
    <w:name w:val="HTML Code"/>
    <w:basedOn w:val="DefaultParagraphFont"/>
    <w:uiPriority w:val="99"/>
    <w:semiHidden/>
    <w:unhideWhenUsed/>
    <w:rsid w:val="00BC14FE"/>
    <w:rPr>
      <w:rFonts w:ascii="Courier New" w:eastAsia="Times New Roman" w:hAnsi="Courier New" w:cs="Courier New"/>
      <w:sz w:val="20"/>
      <w:szCs w:val="20"/>
    </w:rPr>
  </w:style>
  <w:style w:type="character" w:customStyle="1" w:styleId="katex">
    <w:name w:val="katex"/>
    <w:basedOn w:val="DefaultParagraphFont"/>
    <w:rsid w:val="00E954BB"/>
  </w:style>
  <w:style w:type="character" w:customStyle="1" w:styleId="katex-mathml">
    <w:name w:val="katex-mathml"/>
    <w:basedOn w:val="DefaultParagraphFont"/>
    <w:rsid w:val="00EC187C"/>
  </w:style>
  <w:style w:type="character" w:customStyle="1" w:styleId="mord">
    <w:name w:val="mord"/>
    <w:basedOn w:val="DefaultParagraphFont"/>
    <w:rsid w:val="00EC187C"/>
  </w:style>
  <w:style w:type="paragraph" w:customStyle="1" w:styleId="whitespace-pre-wrap">
    <w:name w:val="whitespace-pre-wrap"/>
    <w:basedOn w:val="Normal"/>
    <w:rsid w:val="00DF6F2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whitespace-normal">
    <w:name w:val="whitespace-normal"/>
    <w:basedOn w:val="Normal"/>
    <w:rsid w:val="00DF6F2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Caption">
    <w:name w:val="caption"/>
    <w:basedOn w:val="Normal"/>
    <w:next w:val="Normal"/>
    <w:uiPriority w:val="35"/>
    <w:unhideWhenUsed/>
    <w:qFormat/>
    <w:rsid w:val="00C45594"/>
    <w:pPr>
      <w:spacing w:after="200" w:line="240" w:lineRule="auto"/>
    </w:pPr>
    <w:rPr>
      <w:i/>
      <w:iCs/>
      <w:color w:val="0E2841" w:themeColor="text2"/>
      <w:sz w:val="18"/>
      <w:szCs w:val="18"/>
    </w:rPr>
  </w:style>
  <w:style w:type="character" w:customStyle="1" w:styleId="vlist-s">
    <w:name w:val="vlist-s"/>
    <w:basedOn w:val="DefaultParagraphFont"/>
    <w:rsid w:val="00C208EE"/>
  </w:style>
  <w:style w:type="character" w:customStyle="1" w:styleId="mrel">
    <w:name w:val="mrel"/>
    <w:basedOn w:val="DefaultParagraphFont"/>
    <w:rsid w:val="00C208EE"/>
  </w:style>
  <w:style w:type="paragraph" w:styleId="Bibliography">
    <w:name w:val="Bibliography"/>
    <w:basedOn w:val="Normal"/>
    <w:next w:val="Normal"/>
    <w:uiPriority w:val="37"/>
    <w:unhideWhenUsed/>
    <w:rsid w:val="00821BCB"/>
  </w:style>
  <w:style w:type="paragraph" w:styleId="FootnoteText">
    <w:name w:val="footnote text"/>
    <w:basedOn w:val="Normal"/>
    <w:link w:val="FootnoteTextChar"/>
    <w:uiPriority w:val="99"/>
    <w:semiHidden/>
    <w:unhideWhenUsed/>
    <w:rsid w:val="002C4CF3"/>
    <w:pPr>
      <w:spacing w:after="0" w:line="240" w:lineRule="auto"/>
    </w:pPr>
    <w:rPr>
      <w:rFonts w:ascii="Calibri" w:eastAsia="Calibri" w:hAnsi="Calibri" w:cs="Arial"/>
      <w:kern w:val="0"/>
      <w:sz w:val="20"/>
      <w:szCs w:val="20"/>
      <w:lang w:val="en-GB"/>
      <w14:ligatures w14:val="none"/>
    </w:rPr>
  </w:style>
  <w:style w:type="character" w:customStyle="1" w:styleId="FootnoteTextChar">
    <w:name w:val="Footnote Text Char"/>
    <w:basedOn w:val="DefaultParagraphFont"/>
    <w:link w:val="FootnoteText"/>
    <w:uiPriority w:val="99"/>
    <w:semiHidden/>
    <w:rsid w:val="002C4CF3"/>
    <w:rPr>
      <w:rFonts w:ascii="Calibri" w:eastAsia="Calibri" w:hAnsi="Calibri" w:cs="Arial"/>
      <w:kern w:val="0"/>
      <w:sz w:val="20"/>
      <w:szCs w:val="20"/>
      <w:lang w:val="en-GB"/>
      <w14:ligatures w14:val="none"/>
    </w:rPr>
  </w:style>
  <w:style w:type="character" w:styleId="FootnoteReference">
    <w:name w:val="footnote reference"/>
    <w:uiPriority w:val="99"/>
    <w:semiHidden/>
    <w:unhideWhenUsed/>
    <w:rsid w:val="002C4CF3"/>
    <w:rPr>
      <w:vertAlign w:val="superscript"/>
    </w:rPr>
  </w:style>
  <w:style w:type="paragraph" w:styleId="TOCHeading">
    <w:name w:val="TOC Heading"/>
    <w:basedOn w:val="Heading1"/>
    <w:next w:val="Normal"/>
    <w:uiPriority w:val="39"/>
    <w:unhideWhenUsed/>
    <w:qFormat/>
    <w:rsid w:val="0061004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10048"/>
    <w:pPr>
      <w:spacing w:after="100"/>
    </w:pPr>
  </w:style>
  <w:style w:type="paragraph" w:styleId="TOC2">
    <w:name w:val="toc 2"/>
    <w:basedOn w:val="Normal"/>
    <w:next w:val="Normal"/>
    <w:autoRedefine/>
    <w:uiPriority w:val="39"/>
    <w:unhideWhenUsed/>
    <w:rsid w:val="00610048"/>
    <w:pPr>
      <w:spacing w:after="100"/>
      <w:ind w:left="240"/>
    </w:pPr>
  </w:style>
  <w:style w:type="paragraph" w:styleId="TableofFigures">
    <w:name w:val="table of figures"/>
    <w:basedOn w:val="Normal"/>
    <w:next w:val="Normal"/>
    <w:uiPriority w:val="99"/>
    <w:unhideWhenUsed/>
    <w:rsid w:val="006100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6464">
      <w:bodyDiv w:val="1"/>
      <w:marLeft w:val="0"/>
      <w:marRight w:val="0"/>
      <w:marTop w:val="0"/>
      <w:marBottom w:val="0"/>
      <w:divBdr>
        <w:top w:val="none" w:sz="0" w:space="0" w:color="auto"/>
        <w:left w:val="none" w:sz="0" w:space="0" w:color="auto"/>
        <w:bottom w:val="none" w:sz="0" w:space="0" w:color="auto"/>
        <w:right w:val="none" w:sz="0" w:space="0" w:color="auto"/>
      </w:divBdr>
    </w:div>
    <w:div w:id="15542349">
      <w:bodyDiv w:val="1"/>
      <w:marLeft w:val="0"/>
      <w:marRight w:val="0"/>
      <w:marTop w:val="0"/>
      <w:marBottom w:val="0"/>
      <w:divBdr>
        <w:top w:val="none" w:sz="0" w:space="0" w:color="auto"/>
        <w:left w:val="none" w:sz="0" w:space="0" w:color="auto"/>
        <w:bottom w:val="none" w:sz="0" w:space="0" w:color="auto"/>
        <w:right w:val="none" w:sz="0" w:space="0" w:color="auto"/>
      </w:divBdr>
    </w:div>
    <w:div w:id="34083791">
      <w:bodyDiv w:val="1"/>
      <w:marLeft w:val="0"/>
      <w:marRight w:val="0"/>
      <w:marTop w:val="0"/>
      <w:marBottom w:val="0"/>
      <w:divBdr>
        <w:top w:val="none" w:sz="0" w:space="0" w:color="auto"/>
        <w:left w:val="none" w:sz="0" w:space="0" w:color="auto"/>
        <w:bottom w:val="none" w:sz="0" w:space="0" w:color="auto"/>
        <w:right w:val="none" w:sz="0" w:space="0" w:color="auto"/>
      </w:divBdr>
    </w:div>
    <w:div w:id="85805595">
      <w:bodyDiv w:val="1"/>
      <w:marLeft w:val="0"/>
      <w:marRight w:val="0"/>
      <w:marTop w:val="0"/>
      <w:marBottom w:val="0"/>
      <w:divBdr>
        <w:top w:val="none" w:sz="0" w:space="0" w:color="auto"/>
        <w:left w:val="none" w:sz="0" w:space="0" w:color="auto"/>
        <w:bottom w:val="none" w:sz="0" w:space="0" w:color="auto"/>
        <w:right w:val="none" w:sz="0" w:space="0" w:color="auto"/>
      </w:divBdr>
    </w:div>
    <w:div w:id="110629799">
      <w:bodyDiv w:val="1"/>
      <w:marLeft w:val="0"/>
      <w:marRight w:val="0"/>
      <w:marTop w:val="0"/>
      <w:marBottom w:val="0"/>
      <w:divBdr>
        <w:top w:val="none" w:sz="0" w:space="0" w:color="auto"/>
        <w:left w:val="none" w:sz="0" w:space="0" w:color="auto"/>
        <w:bottom w:val="none" w:sz="0" w:space="0" w:color="auto"/>
        <w:right w:val="none" w:sz="0" w:space="0" w:color="auto"/>
      </w:divBdr>
    </w:div>
    <w:div w:id="129985257">
      <w:bodyDiv w:val="1"/>
      <w:marLeft w:val="0"/>
      <w:marRight w:val="0"/>
      <w:marTop w:val="0"/>
      <w:marBottom w:val="0"/>
      <w:divBdr>
        <w:top w:val="none" w:sz="0" w:space="0" w:color="auto"/>
        <w:left w:val="none" w:sz="0" w:space="0" w:color="auto"/>
        <w:bottom w:val="none" w:sz="0" w:space="0" w:color="auto"/>
        <w:right w:val="none" w:sz="0" w:space="0" w:color="auto"/>
      </w:divBdr>
    </w:div>
    <w:div w:id="158691609">
      <w:bodyDiv w:val="1"/>
      <w:marLeft w:val="0"/>
      <w:marRight w:val="0"/>
      <w:marTop w:val="0"/>
      <w:marBottom w:val="0"/>
      <w:divBdr>
        <w:top w:val="none" w:sz="0" w:space="0" w:color="auto"/>
        <w:left w:val="none" w:sz="0" w:space="0" w:color="auto"/>
        <w:bottom w:val="none" w:sz="0" w:space="0" w:color="auto"/>
        <w:right w:val="none" w:sz="0" w:space="0" w:color="auto"/>
      </w:divBdr>
    </w:div>
    <w:div w:id="166867473">
      <w:bodyDiv w:val="1"/>
      <w:marLeft w:val="0"/>
      <w:marRight w:val="0"/>
      <w:marTop w:val="0"/>
      <w:marBottom w:val="0"/>
      <w:divBdr>
        <w:top w:val="none" w:sz="0" w:space="0" w:color="auto"/>
        <w:left w:val="none" w:sz="0" w:space="0" w:color="auto"/>
        <w:bottom w:val="none" w:sz="0" w:space="0" w:color="auto"/>
        <w:right w:val="none" w:sz="0" w:space="0" w:color="auto"/>
      </w:divBdr>
    </w:div>
    <w:div w:id="188226360">
      <w:bodyDiv w:val="1"/>
      <w:marLeft w:val="0"/>
      <w:marRight w:val="0"/>
      <w:marTop w:val="0"/>
      <w:marBottom w:val="0"/>
      <w:divBdr>
        <w:top w:val="none" w:sz="0" w:space="0" w:color="auto"/>
        <w:left w:val="none" w:sz="0" w:space="0" w:color="auto"/>
        <w:bottom w:val="none" w:sz="0" w:space="0" w:color="auto"/>
        <w:right w:val="none" w:sz="0" w:space="0" w:color="auto"/>
      </w:divBdr>
    </w:div>
    <w:div w:id="213007669">
      <w:bodyDiv w:val="1"/>
      <w:marLeft w:val="0"/>
      <w:marRight w:val="0"/>
      <w:marTop w:val="0"/>
      <w:marBottom w:val="0"/>
      <w:divBdr>
        <w:top w:val="none" w:sz="0" w:space="0" w:color="auto"/>
        <w:left w:val="none" w:sz="0" w:space="0" w:color="auto"/>
        <w:bottom w:val="none" w:sz="0" w:space="0" w:color="auto"/>
        <w:right w:val="none" w:sz="0" w:space="0" w:color="auto"/>
      </w:divBdr>
    </w:div>
    <w:div w:id="217595500">
      <w:bodyDiv w:val="1"/>
      <w:marLeft w:val="0"/>
      <w:marRight w:val="0"/>
      <w:marTop w:val="0"/>
      <w:marBottom w:val="0"/>
      <w:divBdr>
        <w:top w:val="none" w:sz="0" w:space="0" w:color="auto"/>
        <w:left w:val="none" w:sz="0" w:space="0" w:color="auto"/>
        <w:bottom w:val="none" w:sz="0" w:space="0" w:color="auto"/>
        <w:right w:val="none" w:sz="0" w:space="0" w:color="auto"/>
      </w:divBdr>
    </w:div>
    <w:div w:id="239297767">
      <w:bodyDiv w:val="1"/>
      <w:marLeft w:val="0"/>
      <w:marRight w:val="0"/>
      <w:marTop w:val="0"/>
      <w:marBottom w:val="0"/>
      <w:divBdr>
        <w:top w:val="none" w:sz="0" w:space="0" w:color="auto"/>
        <w:left w:val="none" w:sz="0" w:space="0" w:color="auto"/>
        <w:bottom w:val="none" w:sz="0" w:space="0" w:color="auto"/>
        <w:right w:val="none" w:sz="0" w:space="0" w:color="auto"/>
      </w:divBdr>
    </w:div>
    <w:div w:id="247810783">
      <w:bodyDiv w:val="1"/>
      <w:marLeft w:val="0"/>
      <w:marRight w:val="0"/>
      <w:marTop w:val="0"/>
      <w:marBottom w:val="0"/>
      <w:divBdr>
        <w:top w:val="none" w:sz="0" w:space="0" w:color="auto"/>
        <w:left w:val="none" w:sz="0" w:space="0" w:color="auto"/>
        <w:bottom w:val="none" w:sz="0" w:space="0" w:color="auto"/>
        <w:right w:val="none" w:sz="0" w:space="0" w:color="auto"/>
      </w:divBdr>
    </w:div>
    <w:div w:id="255410343">
      <w:bodyDiv w:val="1"/>
      <w:marLeft w:val="0"/>
      <w:marRight w:val="0"/>
      <w:marTop w:val="0"/>
      <w:marBottom w:val="0"/>
      <w:divBdr>
        <w:top w:val="none" w:sz="0" w:space="0" w:color="auto"/>
        <w:left w:val="none" w:sz="0" w:space="0" w:color="auto"/>
        <w:bottom w:val="none" w:sz="0" w:space="0" w:color="auto"/>
        <w:right w:val="none" w:sz="0" w:space="0" w:color="auto"/>
      </w:divBdr>
    </w:div>
    <w:div w:id="258412575">
      <w:bodyDiv w:val="1"/>
      <w:marLeft w:val="0"/>
      <w:marRight w:val="0"/>
      <w:marTop w:val="0"/>
      <w:marBottom w:val="0"/>
      <w:divBdr>
        <w:top w:val="none" w:sz="0" w:space="0" w:color="auto"/>
        <w:left w:val="none" w:sz="0" w:space="0" w:color="auto"/>
        <w:bottom w:val="none" w:sz="0" w:space="0" w:color="auto"/>
        <w:right w:val="none" w:sz="0" w:space="0" w:color="auto"/>
      </w:divBdr>
    </w:div>
    <w:div w:id="271018941">
      <w:bodyDiv w:val="1"/>
      <w:marLeft w:val="0"/>
      <w:marRight w:val="0"/>
      <w:marTop w:val="0"/>
      <w:marBottom w:val="0"/>
      <w:divBdr>
        <w:top w:val="none" w:sz="0" w:space="0" w:color="auto"/>
        <w:left w:val="none" w:sz="0" w:space="0" w:color="auto"/>
        <w:bottom w:val="none" w:sz="0" w:space="0" w:color="auto"/>
        <w:right w:val="none" w:sz="0" w:space="0" w:color="auto"/>
      </w:divBdr>
    </w:div>
    <w:div w:id="280264627">
      <w:bodyDiv w:val="1"/>
      <w:marLeft w:val="0"/>
      <w:marRight w:val="0"/>
      <w:marTop w:val="0"/>
      <w:marBottom w:val="0"/>
      <w:divBdr>
        <w:top w:val="none" w:sz="0" w:space="0" w:color="auto"/>
        <w:left w:val="none" w:sz="0" w:space="0" w:color="auto"/>
        <w:bottom w:val="none" w:sz="0" w:space="0" w:color="auto"/>
        <w:right w:val="none" w:sz="0" w:space="0" w:color="auto"/>
      </w:divBdr>
    </w:div>
    <w:div w:id="309746475">
      <w:bodyDiv w:val="1"/>
      <w:marLeft w:val="0"/>
      <w:marRight w:val="0"/>
      <w:marTop w:val="0"/>
      <w:marBottom w:val="0"/>
      <w:divBdr>
        <w:top w:val="none" w:sz="0" w:space="0" w:color="auto"/>
        <w:left w:val="none" w:sz="0" w:space="0" w:color="auto"/>
        <w:bottom w:val="none" w:sz="0" w:space="0" w:color="auto"/>
        <w:right w:val="none" w:sz="0" w:space="0" w:color="auto"/>
      </w:divBdr>
    </w:div>
    <w:div w:id="314602598">
      <w:bodyDiv w:val="1"/>
      <w:marLeft w:val="0"/>
      <w:marRight w:val="0"/>
      <w:marTop w:val="0"/>
      <w:marBottom w:val="0"/>
      <w:divBdr>
        <w:top w:val="none" w:sz="0" w:space="0" w:color="auto"/>
        <w:left w:val="none" w:sz="0" w:space="0" w:color="auto"/>
        <w:bottom w:val="none" w:sz="0" w:space="0" w:color="auto"/>
        <w:right w:val="none" w:sz="0" w:space="0" w:color="auto"/>
      </w:divBdr>
    </w:div>
    <w:div w:id="338965646">
      <w:bodyDiv w:val="1"/>
      <w:marLeft w:val="0"/>
      <w:marRight w:val="0"/>
      <w:marTop w:val="0"/>
      <w:marBottom w:val="0"/>
      <w:divBdr>
        <w:top w:val="none" w:sz="0" w:space="0" w:color="auto"/>
        <w:left w:val="none" w:sz="0" w:space="0" w:color="auto"/>
        <w:bottom w:val="none" w:sz="0" w:space="0" w:color="auto"/>
        <w:right w:val="none" w:sz="0" w:space="0" w:color="auto"/>
      </w:divBdr>
    </w:div>
    <w:div w:id="351493991">
      <w:bodyDiv w:val="1"/>
      <w:marLeft w:val="0"/>
      <w:marRight w:val="0"/>
      <w:marTop w:val="0"/>
      <w:marBottom w:val="0"/>
      <w:divBdr>
        <w:top w:val="none" w:sz="0" w:space="0" w:color="auto"/>
        <w:left w:val="none" w:sz="0" w:space="0" w:color="auto"/>
        <w:bottom w:val="none" w:sz="0" w:space="0" w:color="auto"/>
        <w:right w:val="none" w:sz="0" w:space="0" w:color="auto"/>
      </w:divBdr>
    </w:div>
    <w:div w:id="353269983">
      <w:bodyDiv w:val="1"/>
      <w:marLeft w:val="0"/>
      <w:marRight w:val="0"/>
      <w:marTop w:val="0"/>
      <w:marBottom w:val="0"/>
      <w:divBdr>
        <w:top w:val="none" w:sz="0" w:space="0" w:color="auto"/>
        <w:left w:val="none" w:sz="0" w:space="0" w:color="auto"/>
        <w:bottom w:val="none" w:sz="0" w:space="0" w:color="auto"/>
        <w:right w:val="none" w:sz="0" w:space="0" w:color="auto"/>
      </w:divBdr>
    </w:div>
    <w:div w:id="354307048">
      <w:bodyDiv w:val="1"/>
      <w:marLeft w:val="0"/>
      <w:marRight w:val="0"/>
      <w:marTop w:val="0"/>
      <w:marBottom w:val="0"/>
      <w:divBdr>
        <w:top w:val="none" w:sz="0" w:space="0" w:color="auto"/>
        <w:left w:val="none" w:sz="0" w:space="0" w:color="auto"/>
        <w:bottom w:val="none" w:sz="0" w:space="0" w:color="auto"/>
        <w:right w:val="none" w:sz="0" w:space="0" w:color="auto"/>
      </w:divBdr>
    </w:div>
    <w:div w:id="355695901">
      <w:bodyDiv w:val="1"/>
      <w:marLeft w:val="0"/>
      <w:marRight w:val="0"/>
      <w:marTop w:val="0"/>
      <w:marBottom w:val="0"/>
      <w:divBdr>
        <w:top w:val="none" w:sz="0" w:space="0" w:color="auto"/>
        <w:left w:val="none" w:sz="0" w:space="0" w:color="auto"/>
        <w:bottom w:val="none" w:sz="0" w:space="0" w:color="auto"/>
        <w:right w:val="none" w:sz="0" w:space="0" w:color="auto"/>
      </w:divBdr>
    </w:div>
    <w:div w:id="356589442">
      <w:bodyDiv w:val="1"/>
      <w:marLeft w:val="0"/>
      <w:marRight w:val="0"/>
      <w:marTop w:val="0"/>
      <w:marBottom w:val="0"/>
      <w:divBdr>
        <w:top w:val="none" w:sz="0" w:space="0" w:color="auto"/>
        <w:left w:val="none" w:sz="0" w:space="0" w:color="auto"/>
        <w:bottom w:val="none" w:sz="0" w:space="0" w:color="auto"/>
        <w:right w:val="none" w:sz="0" w:space="0" w:color="auto"/>
      </w:divBdr>
    </w:div>
    <w:div w:id="475494385">
      <w:bodyDiv w:val="1"/>
      <w:marLeft w:val="0"/>
      <w:marRight w:val="0"/>
      <w:marTop w:val="0"/>
      <w:marBottom w:val="0"/>
      <w:divBdr>
        <w:top w:val="none" w:sz="0" w:space="0" w:color="auto"/>
        <w:left w:val="none" w:sz="0" w:space="0" w:color="auto"/>
        <w:bottom w:val="none" w:sz="0" w:space="0" w:color="auto"/>
        <w:right w:val="none" w:sz="0" w:space="0" w:color="auto"/>
      </w:divBdr>
    </w:div>
    <w:div w:id="513568560">
      <w:bodyDiv w:val="1"/>
      <w:marLeft w:val="0"/>
      <w:marRight w:val="0"/>
      <w:marTop w:val="0"/>
      <w:marBottom w:val="0"/>
      <w:divBdr>
        <w:top w:val="none" w:sz="0" w:space="0" w:color="auto"/>
        <w:left w:val="none" w:sz="0" w:space="0" w:color="auto"/>
        <w:bottom w:val="none" w:sz="0" w:space="0" w:color="auto"/>
        <w:right w:val="none" w:sz="0" w:space="0" w:color="auto"/>
      </w:divBdr>
    </w:div>
    <w:div w:id="519465192">
      <w:bodyDiv w:val="1"/>
      <w:marLeft w:val="0"/>
      <w:marRight w:val="0"/>
      <w:marTop w:val="0"/>
      <w:marBottom w:val="0"/>
      <w:divBdr>
        <w:top w:val="none" w:sz="0" w:space="0" w:color="auto"/>
        <w:left w:val="none" w:sz="0" w:space="0" w:color="auto"/>
        <w:bottom w:val="none" w:sz="0" w:space="0" w:color="auto"/>
        <w:right w:val="none" w:sz="0" w:space="0" w:color="auto"/>
      </w:divBdr>
    </w:div>
    <w:div w:id="542250612">
      <w:bodyDiv w:val="1"/>
      <w:marLeft w:val="0"/>
      <w:marRight w:val="0"/>
      <w:marTop w:val="0"/>
      <w:marBottom w:val="0"/>
      <w:divBdr>
        <w:top w:val="none" w:sz="0" w:space="0" w:color="auto"/>
        <w:left w:val="none" w:sz="0" w:space="0" w:color="auto"/>
        <w:bottom w:val="none" w:sz="0" w:space="0" w:color="auto"/>
        <w:right w:val="none" w:sz="0" w:space="0" w:color="auto"/>
      </w:divBdr>
    </w:div>
    <w:div w:id="583033611">
      <w:bodyDiv w:val="1"/>
      <w:marLeft w:val="0"/>
      <w:marRight w:val="0"/>
      <w:marTop w:val="0"/>
      <w:marBottom w:val="0"/>
      <w:divBdr>
        <w:top w:val="none" w:sz="0" w:space="0" w:color="auto"/>
        <w:left w:val="none" w:sz="0" w:space="0" w:color="auto"/>
        <w:bottom w:val="none" w:sz="0" w:space="0" w:color="auto"/>
        <w:right w:val="none" w:sz="0" w:space="0" w:color="auto"/>
      </w:divBdr>
    </w:div>
    <w:div w:id="598951411">
      <w:bodyDiv w:val="1"/>
      <w:marLeft w:val="0"/>
      <w:marRight w:val="0"/>
      <w:marTop w:val="0"/>
      <w:marBottom w:val="0"/>
      <w:divBdr>
        <w:top w:val="none" w:sz="0" w:space="0" w:color="auto"/>
        <w:left w:val="none" w:sz="0" w:space="0" w:color="auto"/>
        <w:bottom w:val="none" w:sz="0" w:space="0" w:color="auto"/>
        <w:right w:val="none" w:sz="0" w:space="0" w:color="auto"/>
      </w:divBdr>
    </w:div>
    <w:div w:id="610670669">
      <w:bodyDiv w:val="1"/>
      <w:marLeft w:val="0"/>
      <w:marRight w:val="0"/>
      <w:marTop w:val="0"/>
      <w:marBottom w:val="0"/>
      <w:divBdr>
        <w:top w:val="none" w:sz="0" w:space="0" w:color="auto"/>
        <w:left w:val="none" w:sz="0" w:space="0" w:color="auto"/>
        <w:bottom w:val="none" w:sz="0" w:space="0" w:color="auto"/>
        <w:right w:val="none" w:sz="0" w:space="0" w:color="auto"/>
      </w:divBdr>
    </w:div>
    <w:div w:id="679165064">
      <w:bodyDiv w:val="1"/>
      <w:marLeft w:val="0"/>
      <w:marRight w:val="0"/>
      <w:marTop w:val="0"/>
      <w:marBottom w:val="0"/>
      <w:divBdr>
        <w:top w:val="none" w:sz="0" w:space="0" w:color="auto"/>
        <w:left w:val="none" w:sz="0" w:space="0" w:color="auto"/>
        <w:bottom w:val="none" w:sz="0" w:space="0" w:color="auto"/>
        <w:right w:val="none" w:sz="0" w:space="0" w:color="auto"/>
      </w:divBdr>
    </w:div>
    <w:div w:id="688529027">
      <w:bodyDiv w:val="1"/>
      <w:marLeft w:val="0"/>
      <w:marRight w:val="0"/>
      <w:marTop w:val="0"/>
      <w:marBottom w:val="0"/>
      <w:divBdr>
        <w:top w:val="none" w:sz="0" w:space="0" w:color="auto"/>
        <w:left w:val="none" w:sz="0" w:space="0" w:color="auto"/>
        <w:bottom w:val="none" w:sz="0" w:space="0" w:color="auto"/>
        <w:right w:val="none" w:sz="0" w:space="0" w:color="auto"/>
      </w:divBdr>
    </w:div>
    <w:div w:id="694038065">
      <w:bodyDiv w:val="1"/>
      <w:marLeft w:val="0"/>
      <w:marRight w:val="0"/>
      <w:marTop w:val="0"/>
      <w:marBottom w:val="0"/>
      <w:divBdr>
        <w:top w:val="none" w:sz="0" w:space="0" w:color="auto"/>
        <w:left w:val="none" w:sz="0" w:space="0" w:color="auto"/>
        <w:bottom w:val="none" w:sz="0" w:space="0" w:color="auto"/>
        <w:right w:val="none" w:sz="0" w:space="0" w:color="auto"/>
      </w:divBdr>
    </w:div>
    <w:div w:id="724721085">
      <w:bodyDiv w:val="1"/>
      <w:marLeft w:val="0"/>
      <w:marRight w:val="0"/>
      <w:marTop w:val="0"/>
      <w:marBottom w:val="0"/>
      <w:divBdr>
        <w:top w:val="none" w:sz="0" w:space="0" w:color="auto"/>
        <w:left w:val="none" w:sz="0" w:space="0" w:color="auto"/>
        <w:bottom w:val="none" w:sz="0" w:space="0" w:color="auto"/>
        <w:right w:val="none" w:sz="0" w:space="0" w:color="auto"/>
      </w:divBdr>
    </w:div>
    <w:div w:id="725107212">
      <w:bodyDiv w:val="1"/>
      <w:marLeft w:val="0"/>
      <w:marRight w:val="0"/>
      <w:marTop w:val="0"/>
      <w:marBottom w:val="0"/>
      <w:divBdr>
        <w:top w:val="none" w:sz="0" w:space="0" w:color="auto"/>
        <w:left w:val="none" w:sz="0" w:space="0" w:color="auto"/>
        <w:bottom w:val="none" w:sz="0" w:space="0" w:color="auto"/>
        <w:right w:val="none" w:sz="0" w:space="0" w:color="auto"/>
      </w:divBdr>
    </w:div>
    <w:div w:id="726345137">
      <w:bodyDiv w:val="1"/>
      <w:marLeft w:val="0"/>
      <w:marRight w:val="0"/>
      <w:marTop w:val="0"/>
      <w:marBottom w:val="0"/>
      <w:divBdr>
        <w:top w:val="none" w:sz="0" w:space="0" w:color="auto"/>
        <w:left w:val="none" w:sz="0" w:space="0" w:color="auto"/>
        <w:bottom w:val="none" w:sz="0" w:space="0" w:color="auto"/>
        <w:right w:val="none" w:sz="0" w:space="0" w:color="auto"/>
      </w:divBdr>
    </w:div>
    <w:div w:id="728844188">
      <w:bodyDiv w:val="1"/>
      <w:marLeft w:val="0"/>
      <w:marRight w:val="0"/>
      <w:marTop w:val="0"/>
      <w:marBottom w:val="0"/>
      <w:divBdr>
        <w:top w:val="none" w:sz="0" w:space="0" w:color="auto"/>
        <w:left w:val="none" w:sz="0" w:space="0" w:color="auto"/>
        <w:bottom w:val="none" w:sz="0" w:space="0" w:color="auto"/>
        <w:right w:val="none" w:sz="0" w:space="0" w:color="auto"/>
      </w:divBdr>
    </w:div>
    <w:div w:id="768089254">
      <w:bodyDiv w:val="1"/>
      <w:marLeft w:val="0"/>
      <w:marRight w:val="0"/>
      <w:marTop w:val="0"/>
      <w:marBottom w:val="0"/>
      <w:divBdr>
        <w:top w:val="none" w:sz="0" w:space="0" w:color="auto"/>
        <w:left w:val="none" w:sz="0" w:space="0" w:color="auto"/>
        <w:bottom w:val="none" w:sz="0" w:space="0" w:color="auto"/>
        <w:right w:val="none" w:sz="0" w:space="0" w:color="auto"/>
      </w:divBdr>
    </w:div>
    <w:div w:id="772827704">
      <w:bodyDiv w:val="1"/>
      <w:marLeft w:val="0"/>
      <w:marRight w:val="0"/>
      <w:marTop w:val="0"/>
      <w:marBottom w:val="0"/>
      <w:divBdr>
        <w:top w:val="none" w:sz="0" w:space="0" w:color="auto"/>
        <w:left w:val="none" w:sz="0" w:space="0" w:color="auto"/>
        <w:bottom w:val="none" w:sz="0" w:space="0" w:color="auto"/>
        <w:right w:val="none" w:sz="0" w:space="0" w:color="auto"/>
      </w:divBdr>
    </w:div>
    <w:div w:id="790169362">
      <w:bodyDiv w:val="1"/>
      <w:marLeft w:val="0"/>
      <w:marRight w:val="0"/>
      <w:marTop w:val="0"/>
      <w:marBottom w:val="0"/>
      <w:divBdr>
        <w:top w:val="none" w:sz="0" w:space="0" w:color="auto"/>
        <w:left w:val="none" w:sz="0" w:space="0" w:color="auto"/>
        <w:bottom w:val="none" w:sz="0" w:space="0" w:color="auto"/>
        <w:right w:val="none" w:sz="0" w:space="0" w:color="auto"/>
      </w:divBdr>
    </w:div>
    <w:div w:id="809592253">
      <w:bodyDiv w:val="1"/>
      <w:marLeft w:val="0"/>
      <w:marRight w:val="0"/>
      <w:marTop w:val="0"/>
      <w:marBottom w:val="0"/>
      <w:divBdr>
        <w:top w:val="none" w:sz="0" w:space="0" w:color="auto"/>
        <w:left w:val="none" w:sz="0" w:space="0" w:color="auto"/>
        <w:bottom w:val="none" w:sz="0" w:space="0" w:color="auto"/>
        <w:right w:val="none" w:sz="0" w:space="0" w:color="auto"/>
      </w:divBdr>
    </w:div>
    <w:div w:id="812715270">
      <w:bodyDiv w:val="1"/>
      <w:marLeft w:val="0"/>
      <w:marRight w:val="0"/>
      <w:marTop w:val="0"/>
      <w:marBottom w:val="0"/>
      <w:divBdr>
        <w:top w:val="none" w:sz="0" w:space="0" w:color="auto"/>
        <w:left w:val="none" w:sz="0" w:space="0" w:color="auto"/>
        <w:bottom w:val="none" w:sz="0" w:space="0" w:color="auto"/>
        <w:right w:val="none" w:sz="0" w:space="0" w:color="auto"/>
      </w:divBdr>
    </w:div>
    <w:div w:id="815992288">
      <w:bodyDiv w:val="1"/>
      <w:marLeft w:val="0"/>
      <w:marRight w:val="0"/>
      <w:marTop w:val="0"/>
      <w:marBottom w:val="0"/>
      <w:divBdr>
        <w:top w:val="none" w:sz="0" w:space="0" w:color="auto"/>
        <w:left w:val="none" w:sz="0" w:space="0" w:color="auto"/>
        <w:bottom w:val="none" w:sz="0" w:space="0" w:color="auto"/>
        <w:right w:val="none" w:sz="0" w:space="0" w:color="auto"/>
      </w:divBdr>
    </w:div>
    <w:div w:id="853306259">
      <w:bodyDiv w:val="1"/>
      <w:marLeft w:val="0"/>
      <w:marRight w:val="0"/>
      <w:marTop w:val="0"/>
      <w:marBottom w:val="0"/>
      <w:divBdr>
        <w:top w:val="none" w:sz="0" w:space="0" w:color="auto"/>
        <w:left w:val="none" w:sz="0" w:space="0" w:color="auto"/>
        <w:bottom w:val="none" w:sz="0" w:space="0" w:color="auto"/>
        <w:right w:val="none" w:sz="0" w:space="0" w:color="auto"/>
      </w:divBdr>
    </w:div>
    <w:div w:id="937173386">
      <w:bodyDiv w:val="1"/>
      <w:marLeft w:val="0"/>
      <w:marRight w:val="0"/>
      <w:marTop w:val="0"/>
      <w:marBottom w:val="0"/>
      <w:divBdr>
        <w:top w:val="none" w:sz="0" w:space="0" w:color="auto"/>
        <w:left w:val="none" w:sz="0" w:space="0" w:color="auto"/>
        <w:bottom w:val="none" w:sz="0" w:space="0" w:color="auto"/>
        <w:right w:val="none" w:sz="0" w:space="0" w:color="auto"/>
      </w:divBdr>
    </w:div>
    <w:div w:id="939485340">
      <w:bodyDiv w:val="1"/>
      <w:marLeft w:val="0"/>
      <w:marRight w:val="0"/>
      <w:marTop w:val="0"/>
      <w:marBottom w:val="0"/>
      <w:divBdr>
        <w:top w:val="none" w:sz="0" w:space="0" w:color="auto"/>
        <w:left w:val="none" w:sz="0" w:space="0" w:color="auto"/>
        <w:bottom w:val="none" w:sz="0" w:space="0" w:color="auto"/>
        <w:right w:val="none" w:sz="0" w:space="0" w:color="auto"/>
      </w:divBdr>
    </w:div>
    <w:div w:id="959654067">
      <w:bodyDiv w:val="1"/>
      <w:marLeft w:val="0"/>
      <w:marRight w:val="0"/>
      <w:marTop w:val="0"/>
      <w:marBottom w:val="0"/>
      <w:divBdr>
        <w:top w:val="none" w:sz="0" w:space="0" w:color="auto"/>
        <w:left w:val="none" w:sz="0" w:space="0" w:color="auto"/>
        <w:bottom w:val="none" w:sz="0" w:space="0" w:color="auto"/>
        <w:right w:val="none" w:sz="0" w:space="0" w:color="auto"/>
      </w:divBdr>
    </w:div>
    <w:div w:id="981424523">
      <w:bodyDiv w:val="1"/>
      <w:marLeft w:val="0"/>
      <w:marRight w:val="0"/>
      <w:marTop w:val="0"/>
      <w:marBottom w:val="0"/>
      <w:divBdr>
        <w:top w:val="none" w:sz="0" w:space="0" w:color="auto"/>
        <w:left w:val="none" w:sz="0" w:space="0" w:color="auto"/>
        <w:bottom w:val="none" w:sz="0" w:space="0" w:color="auto"/>
        <w:right w:val="none" w:sz="0" w:space="0" w:color="auto"/>
      </w:divBdr>
    </w:div>
    <w:div w:id="981695453">
      <w:bodyDiv w:val="1"/>
      <w:marLeft w:val="0"/>
      <w:marRight w:val="0"/>
      <w:marTop w:val="0"/>
      <w:marBottom w:val="0"/>
      <w:divBdr>
        <w:top w:val="none" w:sz="0" w:space="0" w:color="auto"/>
        <w:left w:val="none" w:sz="0" w:space="0" w:color="auto"/>
        <w:bottom w:val="none" w:sz="0" w:space="0" w:color="auto"/>
        <w:right w:val="none" w:sz="0" w:space="0" w:color="auto"/>
      </w:divBdr>
    </w:div>
    <w:div w:id="1001662670">
      <w:bodyDiv w:val="1"/>
      <w:marLeft w:val="0"/>
      <w:marRight w:val="0"/>
      <w:marTop w:val="0"/>
      <w:marBottom w:val="0"/>
      <w:divBdr>
        <w:top w:val="none" w:sz="0" w:space="0" w:color="auto"/>
        <w:left w:val="none" w:sz="0" w:space="0" w:color="auto"/>
        <w:bottom w:val="none" w:sz="0" w:space="0" w:color="auto"/>
        <w:right w:val="none" w:sz="0" w:space="0" w:color="auto"/>
      </w:divBdr>
    </w:div>
    <w:div w:id="1021515379">
      <w:bodyDiv w:val="1"/>
      <w:marLeft w:val="0"/>
      <w:marRight w:val="0"/>
      <w:marTop w:val="0"/>
      <w:marBottom w:val="0"/>
      <w:divBdr>
        <w:top w:val="none" w:sz="0" w:space="0" w:color="auto"/>
        <w:left w:val="none" w:sz="0" w:space="0" w:color="auto"/>
        <w:bottom w:val="none" w:sz="0" w:space="0" w:color="auto"/>
        <w:right w:val="none" w:sz="0" w:space="0" w:color="auto"/>
      </w:divBdr>
    </w:div>
    <w:div w:id="1029985738">
      <w:bodyDiv w:val="1"/>
      <w:marLeft w:val="0"/>
      <w:marRight w:val="0"/>
      <w:marTop w:val="0"/>
      <w:marBottom w:val="0"/>
      <w:divBdr>
        <w:top w:val="none" w:sz="0" w:space="0" w:color="auto"/>
        <w:left w:val="none" w:sz="0" w:space="0" w:color="auto"/>
        <w:bottom w:val="none" w:sz="0" w:space="0" w:color="auto"/>
        <w:right w:val="none" w:sz="0" w:space="0" w:color="auto"/>
      </w:divBdr>
    </w:div>
    <w:div w:id="1056780726">
      <w:bodyDiv w:val="1"/>
      <w:marLeft w:val="0"/>
      <w:marRight w:val="0"/>
      <w:marTop w:val="0"/>
      <w:marBottom w:val="0"/>
      <w:divBdr>
        <w:top w:val="none" w:sz="0" w:space="0" w:color="auto"/>
        <w:left w:val="none" w:sz="0" w:space="0" w:color="auto"/>
        <w:bottom w:val="none" w:sz="0" w:space="0" w:color="auto"/>
        <w:right w:val="none" w:sz="0" w:space="0" w:color="auto"/>
      </w:divBdr>
    </w:div>
    <w:div w:id="1062101474">
      <w:bodyDiv w:val="1"/>
      <w:marLeft w:val="0"/>
      <w:marRight w:val="0"/>
      <w:marTop w:val="0"/>
      <w:marBottom w:val="0"/>
      <w:divBdr>
        <w:top w:val="none" w:sz="0" w:space="0" w:color="auto"/>
        <w:left w:val="none" w:sz="0" w:space="0" w:color="auto"/>
        <w:bottom w:val="none" w:sz="0" w:space="0" w:color="auto"/>
        <w:right w:val="none" w:sz="0" w:space="0" w:color="auto"/>
      </w:divBdr>
    </w:div>
    <w:div w:id="1067147939">
      <w:bodyDiv w:val="1"/>
      <w:marLeft w:val="0"/>
      <w:marRight w:val="0"/>
      <w:marTop w:val="0"/>
      <w:marBottom w:val="0"/>
      <w:divBdr>
        <w:top w:val="none" w:sz="0" w:space="0" w:color="auto"/>
        <w:left w:val="none" w:sz="0" w:space="0" w:color="auto"/>
        <w:bottom w:val="none" w:sz="0" w:space="0" w:color="auto"/>
        <w:right w:val="none" w:sz="0" w:space="0" w:color="auto"/>
      </w:divBdr>
    </w:div>
    <w:div w:id="1071807577">
      <w:bodyDiv w:val="1"/>
      <w:marLeft w:val="0"/>
      <w:marRight w:val="0"/>
      <w:marTop w:val="0"/>
      <w:marBottom w:val="0"/>
      <w:divBdr>
        <w:top w:val="none" w:sz="0" w:space="0" w:color="auto"/>
        <w:left w:val="none" w:sz="0" w:space="0" w:color="auto"/>
        <w:bottom w:val="none" w:sz="0" w:space="0" w:color="auto"/>
        <w:right w:val="none" w:sz="0" w:space="0" w:color="auto"/>
      </w:divBdr>
    </w:div>
    <w:div w:id="1075322108">
      <w:bodyDiv w:val="1"/>
      <w:marLeft w:val="0"/>
      <w:marRight w:val="0"/>
      <w:marTop w:val="0"/>
      <w:marBottom w:val="0"/>
      <w:divBdr>
        <w:top w:val="none" w:sz="0" w:space="0" w:color="auto"/>
        <w:left w:val="none" w:sz="0" w:space="0" w:color="auto"/>
        <w:bottom w:val="none" w:sz="0" w:space="0" w:color="auto"/>
        <w:right w:val="none" w:sz="0" w:space="0" w:color="auto"/>
      </w:divBdr>
    </w:div>
    <w:div w:id="1094084130">
      <w:bodyDiv w:val="1"/>
      <w:marLeft w:val="0"/>
      <w:marRight w:val="0"/>
      <w:marTop w:val="0"/>
      <w:marBottom w:val="0"/>
      <w:divBdr>
        <w:top w:val="none" w:sz="0" w:space="0" w:color="auto"/>
        <w:left w:val="none" w:sz="0" w:space="0" w:color="auto"/>
        <w:bottom w:val="none" w:sz="0" w:space="0" w:color="auto"/>
        <w:right w:val="none" w:sz="0" w:space="0" w:color="auto"/>
      </w:divBdr>
    </w:div>
    <w:div w:id="1204904810">
      <w:bodyDiv w:val="1"/>
      <w:marLeft w:val="0"/>
      <w:marRight w:val="0"/>
      <w:marTop w:val="0"/>
      <w:marBottom w:val="0"/>
      <w:divBdr>
        <w:top w:val="none" w:sz="0" w:space="0" w:color="auto"/>
        <w:left w:val="none" w:sz="0" w:space="0" w:color="auto"/>
        <w:bottom w:val="none" w:sz="0" w:space="0" w:color="auto"/>
        <w:right w:val="none" w:sz="0" w:space="0" w:color="auto"/>
      </w:divBdr>
    </w:div>
    <w:div w:id="1258368486">
      <w:bodyDiv w:val="1"/>
      <w:marLeft w:val="0"/>
      <w:marRight w:val="0"/>
      <w:marTop w:val="0"/>
      <w:marBottom w:val="0"/>
      <w:divBdr>
        <w:top w:val="none" w:sz="0" w:space="0" w:color="auto"/>
        <w:left w:val="none" w:sz="0" w:space="0" w:color="auto"/>
        <w:bottom w:val="none" w:sz="0" w:space="0" w:color="auto"/>
        <w:right w:val="none" w:sz="0" w:space="0" w:color="auto"/>
      </w:divBdr>
    </w:div>
    <w:div w:id="1280721248">
      <w:bodyDiv w:val="1"/>
      <w:marLeft w:val="0"/>
      <w:marRight w:val="0"/>
      <w:marTop w:val="0"/>
      <w:marBottom w:val="0"/>
      <w:divBdr>
        <w:top w:val="none" w:sz="0" w:space="0" w:color="auto"/>
        <w:left w:val="none" w:sz="0" w:space="0" w:color="auto"/>
        <w:bottom w:val="none" w:sz="0" w:space="0" w:color="auto"/>
        <w:right w:val="none" w:sz="0" w:space="0" w:color="auto"/>
      </w:divBdr>
    </w:div>
    <w:div w:id="1303465309">
      <w:bodyDiv w:val="1"/>
      <w:marLeft w:val="0"/>
      <w:marRight w:val="0"/>
      <w:marTop w:val="0"/>
      <w:marBottom w:val="0"/>
      <w:divBdr>
        <w:top w:val="none" w:sz="0" w:space="0" w:color="auto"/>
        <w:left w:val="none" w:sz="0" w:space="0" w:color="auto"/>
        <w:bottom w:val="none" w:sz="0" w:space="0" w:color="auto"/>
        <w:right w:val="none" w:sz="0" w:space="0" w:color="auto"/>
      </w:divBdr>
    </w:div>
    <w:div w:id="1365711410">
      <w:bodyDiv w:val="1"/>
      <w:marLeft w:val="0"/>
      <w:marRight w:val="0"/>
      <w:marTop w:val="0"/>
      <w:marBottom w:val="0"/>
      <w:divBdr>
        <w:top w:val="none" w:sz="0" w:space="0" w:color="auto"/>
        <w:left w:val="none" w:sz="0" w:space="0" w:color="auto"/>
        <w:bottom w:val="none" w:sz="0" w:space="0" w:color="auto"/>
        <w:right w:val="none" w:sz="0" w:space="0" w:color="auto"/>
      </w:divBdr>
    </w:div>
    <w:div w:id="1378772378">
      <w:bodyDiv w:val="1"/>
      <w:marLeft w:val="0"/>
      <w:marRight w:val="0"/>
      <w:marTop w:val="0"/>
      <w:marBottom w:val="0"/>
      <w:divBdr>
        <w:top w:val="none" w:sz="0" w:space="0" w:color="auto"/>
        <w:left w:val="none" w:sz="0" w:space="0" w:color="auto"/>
        <w:bottom w:val="none" w:sz="0" w:space="0" w:color="auto"/>
        <w:right w:val="none" w:sz="0" w:space="0" w:color="auto"/>
      </w:divBdr>
    </w:div>
    <w:div w:id="1392729682">
      <w:bodyDiv w:val="1"/>
      <w:marLeft w:val="0"/>
      <w:marRight w:val="0"/>
      <w:marTop w:val="0"/>
      <w:marBottom w:val="0"/>
      <w:divBdr>
        <w:top w:val="none" w:sz="0" w:space="0" w:color="auto"/>
        <w:left w:val="none" w:sz="0" w:space="0" w:color="auto"/>
        <w:bottom w:val="none" w:sz="0" w:space="0" w:color="auto"/>
        <w:right w:val="none" w:sz="0" w:space="0" w:color="auto"/>
      </w:divBdr>
    </w:div>
    <w:div w:id="1467896333">
      <w:bodyDiv w:val="1"/>
      <w:marLeft w:val="0"/>
      <w:marRight w:val="0"/>
      <w:marTop w:val="0"/>
      <w:marBottom w:val="0"/>
      <w:divBdr>
        <w:top w:val="none" w:sz="0" w:space="0" w:color="auto"/>
        <w:left w:val="none" w:sz="0" w:space="0" w:color="auto"/>
        <w:bottom w:val="none" w:sz="0" w:space="0" w:color="auto"/>
        <w:right w:val="none" w:sz="0" w:space="0" w:color="auto"/>
      </w:divBdr>
    </w:div>
    <w:div w:id="1468664808">
      <w:bodyDiv w:val="1"/>
      <w:marLeft w:val="0"/>
      <w:marRight w:val="0"/>
      <w:marTop w:val="0"/>
      <w:marBottom w:val="0"/>
      <w:divBdr>
        <w:top w:val="none" w:sz="0" w:space="0" w:color="auto"/>
        <w:left w:val="none" w:sz="0" w:space="0" w:color="auto"/>
        <w:bottom w:val="none" w:sz="0" w:space="0" w:color="auto"/>
        <w:right w:val="none" w:sz="0" w:space="0" w:color="auto"/>
      </w:divBdr>
    </w:div>
    <w:div w:id="1474327143">
      <w:bodyDiv w:val="1"/>
      <w:marLeft w:val="0"/>
      <w:marRight w:val="0"/>
      <w:marTop w:val="0"/>
      <w:marBottom w:val="0"/>
      <w:divBdr>
        <w:top w:val="none" w:sz="0" w:space="0" w:color="auto"/>
        <w:left w:val="none" w:sz="0" w:space="0" w:color="auto"/>
        <w:bottom w:val="none" w:sz="0" w:space="0" w:color="auto"/>
        <w:right w:val="none" w:sz="0" w:space="0" w:color="auto"/>
      </w:divBdr>
    </w:div>
    <w:div w:id="1476339052">
      <w:bodyDiv w:val="1"/>
      <w:marLeft w:val="0"/>
      <w:marRight w:val="0"/>
      <w:marTop w:val="0"/>
      <w:marBottom w:val="0"/>
      <w:divBdr>
        <w:top w:val="none" w:sz="0" w:space="0" w:color="auto"/>
        <w:left w:val="none" w:sz="0" w:space="0" w:color="auto"/>
        <w:bottom w:val="none" w:sz="0" w:space="0" w:color="auto"/>
        <w:right w:val="none" w:sz="0" w:space="0" w:color="auto"/>
      </w:divBdr>
    </w:div>
    <w:div w:id="1516114690">
      <w:bodyDiv w:val="1"/>
      <w:marLeft w:val="0"/>
      <w:marRight w:val="0"/>
      <w:marTop w:val="0"/>
      <w:marBottom w:val="0"/>
      <w:divBdr>
        <w:top w:val="none" w:sz="0" w:space="0" w:color="auto"/>
        <w:left w:val="none" w:sz="0" w:space="0" w:color="auto"/>
        <w:bottom w:val="none" w:sz="0" w:space="0" w:color="auto"/>
        <w:right w:val="none" w:sz="0" w:space="0" w:color="auto"/>
      </w:divBdr>
    </w:div>
    <w:div w:id="1542013035">
      <w:bodyDiv w:val="1"/>
      <w:marLeft w:val="0"/>
      <w:marRight w:val="0"/>
      <w:marTop w:val="0"/>
      <w:marBottom w:val="0"/>
      <w:divBdr>
        <w:top w:val="none" w:sz="0" w:space="0" w:color="auto"/>
        <w:left w:val="none" w:sz="0" w:space="0" w:color="auto"/>
        <w:bottom w:val="none" w:sz="0" w:space="0" w:color="auto"/>
        <w:right w:val="none" w:sz="0" w:space="0" w:color="auto"/>
      </w:divBdr>
      <w:divsChild>
        <w:div w:id="11213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709058">
      <w:bodyDiv w:val="1"/>
      <w:marLeft w:val="0"/>
      <w:marRight w:val="0"/>
      <w:marTop w:val="0"/>
      <w:marBottom w:val="0"/>
      <w:divBdr>
        <w:top w:val="none" w:sz="0" w:space="0" w:color="auto"/>
        <w:left w:val="none" w:sz="0" w:space="0" w:color="auto"/>
        <w:bottom w:val="none" w:sz="0" w:space="0" w:color="auto"/>
        <w:right w:val="none" w:sz="0" w:space="0" w:color="auto"/>
      </w:divBdr>
    </w:div>
    <w:div w:id="1585797807">
      <w:bodyDiv w:val="1"/>
      <w:marLeft w:val="0"/>
      <w:marRight w:val="0"/>
      <w:marTop w:val="0"/>
      <w:marBottom w:val="0"/>
      <w:divBdr>
        <w:top w:val="none" w:sz="0" w:space="0" w:color="auto"/>
        <w:left w:val="none" w:sz="0" w:space="0" w:color="auto"/>
        <w:bottom w:val="none" w:sz="0" w:space="0" w:color="auto"/>
        <w:right w:val="none" w:sz="0" w:space="0" w:color="auto"/>
      </w:divBdr>
    </w:div>
    <w:div w:id="1597710595">
      <w:bodyDiv w:val="1"/>
      <w:marLeft w:val="0"/>
      <w:marRight w:val="0"/>
      <w:marTop w:val="0"/>
      <w:marBottom w:val="0"/>
      <w:divBdr>
        <w:top w:val="none" w:sz="0" w:space="0" w:color="auto"/>
        <w:left w:val="none" w:sz="0" w:space="0" w:color="auto"/>
        <w:bottom w:val="none" w:sz="0" w:space="0" w:color="auto"/>
        <w:right w:val="none" w:sz="0" w:space="0" w:color="auto"/>
      </w:divBdr>
    </w:div>
    <w:div w:id="1601723498">
      <w:bodyDiv w:val="1"/>
      <w:marLeft w:val="0"/>
      <w:marRight w:val="0"/>
      <w:marTop w:val="0"/>
      <w:marBottom w:val="0"/>
      <w:divBdr>
        <w:top w:val="none" w:sz="0" w:space="0" w:color="auto"/>
        <w:left w:val="none" w:sz="0" w:space="0" w:color="auto"/>
        <w:bottom w:val="none" w:sz="0" w:space="0" w:color="auto"/>
        <w:right w:val="none" w:sz="0" w:space="0" w:color="auto"/>
      </w:divBdr>
    </w:div>
    <w:div w:id="1606617547">
      <w:bodyDiv w:val="1"/>
      <w:marLeft w:val="0"/>
      <w:marRight w:val="0"/>
      <w:marTop w:val="0"/>
      <w:marBottom w:val="0"/>
      <w:divBdr>
        <w:top w:val="none" w:sz="0" w:space="0" w:color="auto"/>
        <w:left w:val="none" w:sz="0" w:space="0" w:color="auto"/>
        <w:bottom w:val="none" w:sz="0" w:space="0" w:color="auto"/>
        <w:right w:val="none" w:sz="0" w:space="0" w:color="auto"/>
      </w:divBdr>
    </w:div>
    <w:div w:id="1614633692">
      <w:bodyDiv w:val="1"/>
      <w:marLeft w:val="0"/>
      <w:marRight w:val="0"/>
      <w:marTop w:val="0"/>
      <w:marBottom w:val="0"/>
      <w:divBdr>
        <w:top w:val="none" w:sz="0" w:space="0" w:color="auto"/>
        <w:left w:val="none" w:sz="0" w:space="0" w:color="auto"/>
        <w:bottom w:val="none" w:sz="0" w:space="0" w:color="auto"/>
        <w:right w:val="none" w:sz="0" w:space="0" w:color="auto"/>
      </w:divBdr>
    </w:div>
    <w:div w:id="1625849289">
      <w:bodyDiv w:val="1"/>
      <w:marLeft w:val="0"/>
      <w:marRight w:val="0"/>
      <w:marTop w:val="0"/>
      <w:marBottom w:val="0"/>
      <w:divBdr>
        <w:top w:val="none" w:sz="0" w:space="0" w:color="auto"/>
        <w:left w:val="none" w:sz="0" w:space="0" w:color="auto"/>
        <w:bottom w:val="none" w:sz="0" w:space="0" w:color="auto"/>
        <w:right w:val="none" w:sz="0" w:space="0" w:color="auto"/>
      </w:divBdr>
    </w:div>
    <w:div w:id="1631008461">
      <w:bodyDiv w:val="1"/>
      <w:marLeft w:val="0"/>
      <w:marRight w:val="0"/>
      <w:marTop w:val="0"/>
      <w:marBottom w:val="0"/>
      <w:divBdr>
        <w:top w:val="none" w:sz="0" w:space="0" w:color="auto"/>
        <w:left w:val="none" w:sz="0" w:space="0" w:color="auto"/>
        <w:bottom w:val="none" w:sz="0" w:space="0" w:color="auto"/>
        <w:right w:val="none" w:sz="0" w:space="0" w:color="auto"/>
      </w:divBdr>
    </w:div>
    <w:div w:id="1647274798">
      <w:bodyDiv w:val="1"/>
      <w:marLeft w:val="0"/>
      <w:marRight w:val="0"/>
      <w:marTop w:val="0"/>
      <w:marBottom w:val="0"/>
      <w:divBdr>
        <w:top w:val="none" w:sz="0" w:space="0" w:color="auto"/>
        <w:left w:val="none" w:sz="0" w:space="0" w:color="auto"/>
        <w:bottom w:val="none" w:sz="0" w:space="0" w:color="auto"/>
        <w:right w:val="none" w:sz="0" w:space="0" w:color="auto"/>
      </w:divBdr>
    </w:div>
    <w:div w:id="1669791790">
      <w:bodyDiv w:val="1"/>
      <w:marLeft w:val="0"/>
      <w:marRight w:val="0"/>
      <w:marTop w:val="0"/>
      <w:marBottom w:val="0"/>
      <w:divBdr>
        <w:top w:val="none" w:sz="0" w:space="0" w:color="auto"/>
        <w:left w:val="none" w:sz="0" w:space="0" w:color="auto"/>
        <w:bottom w:val="none" w:sz="0" w:space="0" w:color="auto"/>
        <w:right w:val="none" w:sz="0" w:space="0" w:color="auto"/>
      </w:divBdr>
    </w:div>
    <w:div w:id="1671328393">
      <w:bodyDiv w:val="1"/>
      <w:marLeft w:val="0"/>
      <w:marRight w:val="0"/>
      <w:marTop w:val="0"/>
      <w:marBottom w:val="0"/>
      <w:divBdr>
        <w:top w:val="none" w:sz="0" w:space="0" w:color="auto"/>
        <w:left w:val="none" w:sz="0" w:space="0" w:color="auto"/>
        <w:bottom w:val="none" w:sz="0" w:space="0" w:color="auto"/>
        <w:right w:val="none" w:sz="0" w:space="0" w:color="auto"/>
      </w:divBdr>
    </w:div>
    <w:div w:id="1674456016">
      <w:bodyDiv w:val="1"/>
      <w:marLeft w:val="0"/>
      <w:marRight w:val="0"/>
      <w:marTop w:val="0"/>
      <w:marBottom w:val="0"/>
      <w:divBdr>
        <w:top w:val="none" w:sz="0" w:space="0" w:color="auto"/>
        <w:left w:val="none" w:sz="0" w:space="0" w:color="auto"/>
        <w:bottom w:val="none" w:sz="0" w:space="0" w:color="auto"/>
        <w:right w:val="none" w:sz="0" w:space="0" w:color="auto"/>
      </w:divBdr>
    </w:div>
    <w:div w:id="1695307665">
      <w:bodyDiv w:val="1"/>
      <w:marLeft w:val="0"/>
      <w:marRight w:val="0"/>
      <w:marTop w:val="0"/>
      <w:marBottom w:val="0"/>
      <w:divBdr>
        <w:top w:val="none" w:sz="0" w:space="0" w:color="auto"/>
        <w:left w:val="none" w:sz="0" w:space="0" w:color="auto"/>
        <w:bottom w:val="none" w:sz="0" w:space="0" w:color="auto"/>
        <w:right w:val="none" w:sz="0" w:space="0" w:color="auto"/>
      </w:divBdr>
    </w:div>
    <w:div w:id="1701972648">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
    <w:div w:id="1742289572">
      <w:bodyDiv w:val="1"/>
      <w:marLeft w:val="0"/>
      <w:marRight w:val="0"/>
      <w:marTop w:val="0"/>
      <w:marBottom w:val="0"/>
      <w:divBdr>
        <w:top w:val="none" w:sz="0" w:space="0" w:color="auto"/>
        <w:left w:val="none" w:sz="0" w:space="0" w:color="auto"/>
        <w:bottom w:val="none" w:sz="0" w:space="0" w:color="auto"/>
        <w:right w:val="none" w:sz="0" w:space="0" w:color="auto"/>
      </w:divBdr>
    </w:div>
    <w:div w:id="1746149168">
      <w:bodyDiv w:val="1"/>
      <w:marLeft w:val="0"/>
      <w:marRight w:val="0"/>
      <w:marTop w:val="0"/>
      <w:marBottom w:val="0"/>
      <w:divBdr>
        <w:top w:val="none" w:sz="0" w:space="0" w:color="auto"/>
        <w:left w:val="none" w:sz="0" w:space="0" w:color="auto"/>
        <w:bottom w:val="none" w:sz="0" w:space="0" w:color="auto"/>
        <w:right w:val="none" w:sz="0" w:space="0" w:color="auto"/>
      </w:divBdr>
    </w:div>
    <w:div w:id="1823498930">
      <w:bodyDiv w:val="1"/>
      <w:marLeft w:val="0"/>
      <w:marRight w:val="0"/>
      <w:marTop w:val="0"/>
      <w:marBottom w:val="0"/>
      <w:divBdr>
        <w:top w:val="none" w:sz="0" w:space="0" w:color="auto"/>
        <w:left w:val="none" w:sz="0" w:space="0" w:color="auto"/>
        <w:bottom w:val="none" w:sz="0" w:space="0" w:color="auto"/>
        <w:right w:val="none" w:sz="0" w:space="0" w:color="auto"/>
      </w:divBdr>
    </w:div>
    <w:div w:id="1840655382">
      <w:bodyDiv w:val="1"/>
      <w:marLeft w:val="0"/>
      <w:marRight w:val="0"/>
      <w:marTop w:val="0"/>
      <w:marBottom w:val="0"/>
      <w:divBdr>
        <w:top w:val="none" w:sz="0" w:space="0" w:color="auto"/>
        <w:left w:val="none" w:sz="0" w:space="0" w:color="auto"/>
        <w:bottom w:val="none" w:sz="0" w:space="0" w:color="auto"/>
        <w:right w:val="none" w:sz="0" w:space="0" w:color="auto"/>
      </w:divBdr>
    </w:div>
    <w:div w:id="1865708353">
      <w:bodyDiv w:val="1"/>
      <w:marLeft w:val="0"/>
      <w:marRight w:val="0"/>
      <w:marTop w:val="0"/>
      <w:marBottom w:val="0"/>
      <w:divBdr>
        <w:top w:val="none" w:sz="0" w:space="0" w:color="auto"/>
        <w:left w:val="none" w:sz="0" w:space="0" w:color="auto"/>
        <w:bottom w:val="none" w:sz="0" w:space="0" w:color="auto"/>
        <w:right w:val="none" w:sz="0" w:space="0" w:color="auto"/>
      </w:divBdr>
    </w:div>
    <w:div w:id="1885754297">
      <w:bodyDiv w:val="1"/>
      <w:marLeft w:val="0"/>
      <w:marRight w:val="0"/>
      <w:marTop w:val="0"/>
      <w:marBottom w:val="0"/>
      <w:divBdr>
        <w:top w:val="none" w:sz="0" w:space="0" w:color="auto"/>
        <w:left w:val="none" w:sz="0" w:space="0" w:color="auto"/>
        <w:bottom w:val="none" w:sz="0" w:space="0" w:color="auto"/>
        <w:right w:val="none" w:sz="0" w:space="0" w:color="auto"/>
      </w:divBdr>
    </w:div>
    <w:div w:id="1922445176">
      <w:bodyDiv w:val="1"/>
      <w:marLeft w:val="0"/>
      <w:marRight w:val="0"/>
      <w:marTop w:val="0"/>
      <w:marBottom w:val="0"/>
      <w:divBdr>
        <w:top w:val="none" w:sz="0" w:space="0" w:color="auto"/>
        <w:left w:val="none" w:sz="0" w:space="0" w:color="auto"/>
        <w:bottom w:val="none" w:sz="0" w:space="0" w:color="auto"/>
        <w:right w:val="none" w:sz="0" w:space="0" w:color="auto"/>
      </w:divBdr>
    </w:div>
    <w:div w:id="1952124325">
      <w:bodyDiv w:val="1"/>
      <w:marLeft w:val="0"/>
      <w:marRight w:val="0"/>
      <w:marTop w:val="0"/>
      <w:marBottom w:val="0"/>
      <w:divBdr>
        <w:top w:val="none" w:sz="0" w:space="0" w:color="auto"/>
        <w:left w:val="none" w:sz="0" w:space="0" w:color="auto"/>
        <w:bottom w:val="none" w:sz="0" w:space="0" w:color="auto"/>
        <w:right w:val="none" w:sz="0" w:space="0" w:color="auto"/>
      </w:divBdr>
    </w:div>
    <w:div w:id="1953708110">
      <w:bodyDiv w:val="1"/>
      <w:marLeft w:val="0"/>
      <w:marRight w:val="0"/>
      <w:marTop w:val="0"/>
      <w:marBottom w:val="0"/>
      <w:divBdr>
        <w:top w:val="none" w:sz="0" w:space="0" w:color="auto"/>
        <w:left w:val="none" w:sz="0" w:space="0" w:color="auto"/>
        <w:bottom w:val="none" w:sz="0" w:space="0" w:color="auto"/>
        <w:right w:val="none" w:sz="0" w:space="0" w:color="auto"/>
      </w:divBdr>
    </w:div>
    <w:div w:id="2009096280">
      <w:bodyDiv w:val="1"/>
      <w:marLeft w:val="0"/>
      <w:marRight w:val="0"/>
      <w:marTop w:val="0"/>
      <w:marBottom w:val="0"/>
      <w:divBdr>
        <w:top w:val="none" w:sz="0" w:space="0" w:color="auto"/>
        <w:left w:val="none" w:sz="0" w:space="0" w:color="auto"/>
        <w:bottom w:val="none" w:sz="0" w:space="0" w:color="auto"/>
        <w:right w:val="none" w:sz="0" w:space="0" w:color="auto"/>
      </w:divBdr>
    </w:div>
    <w:div w:id="2015835287">
      <w:bodyDiv w:val="1"/>
      <w:marLeft w:val="0"/>
      <w:marRight w:val="0"/>
      <w:marTop w:val="0"/>
      <w:marBottom w:val="0"/>
      <w:divBdr>
        <w:top w:val="none" w:sz="0" w:space="0" w:color="auto"/>
        <w:left w:val="none" w:sz="0" w:space="0" w:color="auto"/>
        <w:bottom w:val="none" w:sz="0" w:space="0" w:color="auto"/>
        <w:right w:val="none" w:sz="0" w:space="0" w:color="auto"/>
      </w:divBdr>
    </w:div>
    <w:div w:id="2038966610">
      <w:bodyDiv w:val="1"/>
      <w:marLeft w:val="0"/>
      <w:marRight w:val="0"/>
      <w:marTop w:val="0"/>
      <w:marBottom w:val="0"/>
      <w:divBdr>
        <w:top w:val="none" w:sz="0" w:space="0" w:color="auto"/>
        <w:left w:val="none" w:sz="0" w:space="0" w:color="auto"/>
        <w:bottom w:val="none" w:sz="0" w:space="0" w:color="auto"/>
        <w:right w:val="none" w:sz="0" w:space="0" w:color="auto"/>
      </w:divBdr>
    </w:div>
    <w:div w:id="2089955105">
      <w:bodyDiv w:val="1"/>
      <w:marLeft w:val="0"/>
      <w:marRight w:val="0"/>
      <w:marTop w:val="0"/>
      <w:marBottom w:val="0"/>
      <w:divBdr>
        <w:top w:val="none" w:sz="0" w:space="0" w:color="auto"/>
        <w:left w:val="none" w:sz="0" w:space="0" w:color="auto"/>
        <w:bottom w:val="none" w:sz="0" w:space="0" w:color="auto"/>
        <w:right w:val="none" w:sz="0" w:space="0" w:color="auto"/>
      </w:divBdr>
    </w:div>
    <w:div w:id="2097748042">
      <w:bodyDiv w:val="1"/>
      <w:marLeft w:val="0"/>
      <w:marRight w:val="0"/>
      <w:marTop w:val="0"/>
      <w:marBottom w:val="0"/>
      <w:divBdr>
        <w:top w:val="none" w:sz="0" w:space="0" w:color="auto"/>
        <w:left w:val="none" w:sz="0" w:space="0" w:color="auto"/>
        <w:bottom w:val="none" w:sz="0" w:space="0" w:color="auto"/>
        <w:right w:val="none" w:sz="0" w:space="0" w:color="auto"/>
      </w:divBdr>
    </w:div>
    <w:div w:id="2103911360">
      <w:bodyDiv w:val="1"/>
      <w:marLeft w:val="0"/>
      <w:marRight w:val="0"/>
      <w:marTop w:val="0"/>
      <w:marBottom w:val="0"/>
      <w:divBdr>
        <w:top w:val="none" w:sz="0" w:space="0" w:color="auto"/>
        <w:left w:val="none" w:sz="0" w:space="0" w:color="auto"/>
        <w:bottom w:val="none" w:sz="0" w:space="0" w:color="auto"/>
        <w:right w:val="none" w:sz="0" w:space="0" w:color="auto"/>
      </w:divBdr>
    </w:div>
    <w:div w:id="2118789314">
      <w:bodyDiv w:val="1"/>
      <w:marLeft w:val="0"/>
      <w:marRight w:val="0"/>
      <w:marTop w:val="0"/>
      <w:marBottom w:val="0"/>
      <w:divBdr>
        <w:top w:val="none" w:sz="0" w:space="0" w:color="auto"/>
        <w:left w:val="none" w:sz="0" w:space="0" w:color="auto"/>
        <w:bottom w:val="none" w:sz="0" w:space="0" w:color="auto"/>
        <w:right w:val="none" w:sz="0" w:space="0" w:color="auto"/>
      </w:divBdr>
    </w:div>
    <w:div w:id="213872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8C7FF49CD8284BB1DB224C9E181563" ma:contentTypeVersion="10" ma:contentTypeDescription="Create a new document." ma:contentTypeScope="" ma:versionID="9957f2f2c07eb9848fab03cc8b23a4a6">
  <xsd:schema xmlns:xsd="http://www.w3.org/2001/XMLSchema" xmlns:xs="http://www.w3.org/2001/XMLSchema" xmlns:p="http://schemas.microsoft.com/office/2006/metadata/properties" xmlns:ns3="ec842255-1225-496f-b1c6-5e034c43d5de" targetNamespace="http://schemas.microsoft.com/office/2006/metadata/properties" ma:root="true" ma:fieldsID="ce1ed41a55fbb272a404206f02527ef6" ns3:_="">
    <xsd:import namespace="ec842255-1225-496f-b1c6-5e034c43d5d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842255-1225-496f-b1c6-5e034c43d5d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Del25</b:Tag>
    <b:SourceType>InternetSite</b:SourceType>
    <b:Guid>{B4C2902E-41BE-47FA-98A0-279830B0BD0B}</b:Guid>
    <b:Title>Shaping the future of payments: Trends and insights for 2025</b:Title>
    <b:Year>2025</b:Year>
    <b:Author>
      <b:Author>
        <b:Corporate>Deloitte</b:Corporate>
      </b:Author>
    </b:Author>
    <b:YearAccessed>2025</b:YearAccessed>
    <b:URL>https://www2.deloitte.com/us/en/pages/financial-services/articles/infocus-payments-trends.html</b:URL>
    <b:RefOrder>2</b:RefOrder>
  </b:Source>
  <b:Source>
    <b:Tag>BCG21</b:Tag>
    <b:SourceType>InternetSite</b:SourceType>
    <b:Guid>{88A0557B-AEE3-4402-B3E1-56D30B9F0CDD}</b:Guid>
    <b:Author>
      <b:Author>
        <b:Corporate>BCG</b:Corporate>
      </b:Author>
    </b:Author>
    <b:Title>Global Retail Banking 2021: The Front-to-Back Digital Retail Bank</b:Title>
    <b:Year>2021</b:Year>
    <b:YearAccessed>2021</b:YearAccessed>
    <b:MonthAccessed>January</b:MonthAccessed>
    <b:DayAccessed>26</b:DayAccessed>
    <b:URL>https://www.bcg.com/publications/2021/global-retail-banking-report</b:URL>
    <b:RefOrder>3</b:RefOrder>
  </b:Source>
  <b:Source>
    <b:Tag>Dra98</b:Tag>
    <b:SourceType>JournalArticle</b:SourceType>
    <b:Guid>{0D6596F9-AC09-4779-82F1-0073993C88ED}</b:Guid>
    <b:Title>The Red and the Black: Mental Accounting of Savings and Debt</b:Title>
    <b:Year>1998</b:Year>
    <b:Author>
      <b:Author>
        <b:NameList>
          <b:Person>
            <b:Last>Prelec</b:Last>
            <b:First>Drazen</b:First>
          </b:Person>
          <b:Person>
            <b:Last>Loewenstein</b:Last>
            <b:First>George</b:First>
          </b:Person>
        </b:NameList>
      </b:Author>
    </b:Author>
    <b:JournalName>Institute for Operations Research and the Management Sciences</b:JournalName>
    <b:Pages>4-89</b:Pages>
    <b:Volume>17</b:Volume>
    <b:Issue>1</b:Issue>
    <b:RefOrder>4</b:RefOrder>
  </b:Source>
  <b:Source>
    <b:Tag>Wil24</b:Tag>
    <b:SourceType>InternetSite</b:SourceType>
    <b:Guid>{CBF066BC-B842-4455-B223-410FD1175F26}</b:Guid>
    <b:Title>What Are Golden Handcuffs? Definition, Purpose, and Examples</b:Title>
    <b:Year>2024</b:Year>
    <b:Author>
      <b:Author>
        <b:NameList>
          <b:Person>
            <b:Last>Kenton</b:Last>
            <b:First>Will</b:First>
          </b:Person>
        </b:NameList>
      </b:Author>
    </b:Author>
    <b:YearAccessed>2024</b:YearAccessed>
    <b:MonthAccessed>October</b:MonthAccessed>
    <b:DayAccessed>17</b:DayAccessed>
    <b:URL>https://www.investopedia.com/terms/g/goldenhandcuffs.asp#:~:text=Golden%20handcuffs%20are%20a%20collection,a%20stipulated%20period%20of%20time.</b:URL>
    <b:RefOrder>17</b:RefOrder>
  </b:Source>
  <b:Source>
    <b:Tag>Chi96</b:Tag>
    <b:SourceType>JournalArticle</b:SourceType>
    <b:Guid>{3D57739E-1167-49C1-8BAE-CF3D46B44A7A}</b:Guid>
    <b:Title>Mental Budgeting and Consumer Decisions</b:Title>
    <b:Year>1996</b:Year>
    <b:Author>
      <b:Author>
        <b:NameList>
          <b:Person>
            <b:Last>Heath</b:Last>
            <b:First>Chip</b:First>
          </b:Person>
          <b:Person>
            <b:Last>Soll</b:Last>
            <b:First>Jack</b:First>
            <b:Middle>B.</b:Middle>
          </b:Person>
        </b:NameList>
      </b:Author>
    </b:Author>
    <b:JournalName>Journal of Consumer Research</b:JournalName>
    <b:Pages>40-52</b:Pages>
    <b:Volume>23</b:Volume>
    <b:Issue>1</b:Issue>
    <b:RefOrder>18</b:RefOrder>
  </b:Source>
  <b:Source>
    <b:Tag>Bro99</b:Tag>
    <b:SourceType>JournalArticle</b:SourceType>
    <b:Guid>{E718F0E2-0D19-4F0B-B174-E8B441CC02D6}</b:Guid>
    <b:Author>
      <b:Author>
        <b:NameList>
          <b:Person>
            <b:Last>Brochard</b:Last>
            <b:First>R</b:First>
          </b:Person>
          <b:Person>
            <b:Last>Drake</b:Last>
            <b:First>C</b:First>
          </b:Person>
          <b:Person>
            <b:Last>Botte</b:Last>
            <b:First>M.-C</b:First>
          </b:Person>
          <b:Person>
            <b:Last>McAdams</b:Last>
            <b:First>S.</b:First>
          </b:Person>
        </b:NameList>
      </b:Author>
    </b:Author>
    <b:Title>Perceptual organization of complex auditory sequences: Effect of number of simultaneous subsequences and frequency separation.</b:Title>
    <b:JournalName> American Psychological Association</b:JournalName>
    <b:Year>1999</b:Year>
    <b:Pages>1742–1759</b:Pages>
    <b:Volume>25</b:Volume>
    <b:Issue>6</b:Issue>
    <b:RefOrder>8</b:RefOrder>
  </b:Source>
  <b:Source>
    <b:Tag>Kog12</b:Tag>
    <b:SourceType>JournalArticle</b:SourceType>
    <b:Guid>{9B285CF0-E93E-44EA-A612-6816C387C36C}</b:Guid>
    <b:Author>
      <b:Author>
        <b:NameList>
          <b:Person>
            <b:Last>Kogut</b:Last>
            <b:First>Tehila</b:First>
          </b:Person>
        </b:NameList>
      </b:Author>
    </b:Author>
    <b:Title>Knowing what I should, doing what I want: From selfishness to inequity aversion in young children’s sharing behavior</b:Title>
    <b:Year>2012</b:Year>
    <b:JournalName>Journal of Economic Psychology</b:JournalName>
    <b:Pages>226-236</b:Pages>
    <b:Volume>13</b:Volume>
    <b:Issue>1</b:Issue>
    <b:RefOrder>9</b:RefOrder>
  </b:Source>
  <b:Source>
    <b:Tag>Kiv12</b:Tag>
    <b:SourceType>JournalArticle</b:SourceType>
    <b:Guid>{7FC6E479-1FC2-4819-A0B0-76514AB85CC7}</b:Guid>
    <b:Author>
      <b:Author>
        <b:NameList>
          <b:Person>
            <b:Last>Kiviruusu</b:Last>
            <b:First>O</b:First>
          </b:Person>
          <b:Person>
            <b:Last>Huurre</b:Last>
            <b:First>T</b:First>
          </b:Person>
          <b:Person>
            <b:Last>Haukkala</b:Last>
            <b:First>A</b:First>
          </b:Person>
          <b:Person>
            <b:Last>Aro</b:Last>
            <b:First>H.</b:First>
          </b:Person>
        </b:NameList>
      </b:Author>
    </b:Author>
    <b:Title>Changes in psychological resources moderate the effect of socioeconomic status on distress symptoms: A 10-year follow-up among young adults.</b:Title>
    <b:JournalName>American Psychological Association</b:JournalName>
    <b:Year>2012</b:Year>
    <b:Pages>627–636</b:Pages>
    <b:Volume>32</b:Volume>
    <b:Issue>6</b:Issue>
    <b:RefOrder>10</b:RefOrder>
  </b:Source>
  <b:Source>
    <b:Tag>Ham24</b:Tag>
    <b:SourceType>JournalArticle</b:SourceType>
    <b:Guid>{C97CB558-7A50-4293-B1D2-C84405FE70F6}</b:Guid>
    <b:Author>
      <b:Author>
        <b:NameList>
          <b:Person>
            <b:Last>Tanhaei</b:Last>
            <b:First>Hamed</b:First>
            <b:Middle>Ghorban</b:Middle>
          </b:Person>
          <b:Person>
            <b:Last>Boozary</b:Last>
            <b:First>Payam</b:First>
          </b:Person>
          <b:Person>
            <b:Last>Sheykhan</b:Last>
            <b:First>Sogand</b:First>
          </b:Person>
          <b:Person>
            <b:Last>Rabiee</b:Last>
            <b:First>Maryam</b:First>
          </b:Person>
        </b:NameList>
      </b:Author>
    </b:Author>
    <b:Title>Predictive Analytics in Customer Behavior: Anticipating Trends and Preferences</b:Title>
    <b:JournalName>Results in Control and Optimization</b:JournalName>
    <b:Year>2024</b:Year>
    <b:Pages>462-466</b:Pages>
    <b:Volume>17</b:Volume>
    <b:RefOrder>11</b:RefOrder>
  </b:Source>
  <b:Source>
    <b:Tag>Kel07</b:Tag>
    <b:SourceType>JournalArticle</b:SourceType>
    <b:Guid>{818FC5EE-4106-4712-A00F-CF935357E34B}</b:Guid>
    <b:Author>
      <b:Author>
        <b:NameList>
          <b:Person>
            <b:Last>Archer</b:Last>
            <b:First>Kellie</b:First>
          </b:Person>
          <b:Person>
            <b:Last>Lemeshow</b:Last>
            <b:First>Stanley</b:First>
          </b:Person>
          <b:Person>
            <b:Last>Hosmer</b:Last>
            <b:First>David</b:First>
            <b:Middle>W</b:Middle>
          </b:Person>
        </b:NameList>
      </b:Author>
    </b:Author>
    <b:Title>Goodness-of-fit test for logistic regression models when data are collected using a complex sample design</b:Title>
    <b:JournalName>Computational Statistics &amp; Data Analysis</b:JournalName>
    <b:Year>2007</b:Year>
    <b:Pages>4450-4464</b:Pages>
    <b:Volume>51</b:Volume>
    <b:Issue>9</b:Issue>
    <b:RefOrder>12</b:RefOrder>
  </b:Source>
  <b:Source>
    <b:Tag>Joy22</b:Tag>
    <b:SourceType>JournalArticle</b:SourceType>
    <b:Guid>{3A6F8BB7-F93E-4930-B32D-DDC72E42F27B}</b:Guid>
    <b:Title>The Impact of Behavioral Biases on Individuals’ Financial Choices under Uncertainty: An Empirical Approach</b:Title>
    <b:Year>2022</b:Year>
    <b:Author>
      <b:Author>
        <b:NameList>
          <b:Person>
            <b:Last>Banerji</b:Last>
            <b:First>Joyita</b:First>
          </b:Person>
          <b:Person>
            <b:Last>Alam</b:Last>
            <b:First>Parveen</b:First>
            <b:Middle>Ahmed</b:Middle>
          </b:Person>
          <b:Person>
            <b:Last>Kundu</b:Last>
            <b:First>Kaushik</b:First>
          </b:Person>
        </b:NameList>
      </b:Author>
    </b:Author>
    <b:JournalName>Business Perspectives and Research</b:JournalName>
    <b:Pages>82-89</b:Pages>
    <b:Volume>11</b:Volume>
    <b:Issue>1</b:Issue>
    <b:RefOrder>14</b:RefOrder>
  </b:Source>
  <b:Source>
    <b:Tag>McK24</b:Tag>
    <b:SourceType>InternetSite</b:SourceType>
    <b:Guid>{4264BFD2-5099-4033-B683-7D0C2F880CBE}</b:Guid>
    <b:Title>Global payments in 2024: Simpler interfaces, complex reality</b:Title>
    <b:Year>2024</b:Year>
    <b:Author>
      <b:Author>
        <b:Corporate>McKinsey</b:Corporate>
      </b:Author>
    </b:Author>
    <b:YearAccessed>2024</b:YearAccessed>
    <b:MonthAccessed>October</b:MonthAccessed>
    <b:DayAccessed>18</b:DayAccessed>
    <b:URL>https://www.mckinsey.com/industries/financial-services/our-insights/global-payments-in-2024-simpler-interfaces-complex-reality</b:URL>
    <b:RefOrder>15</b:RefOrder>
  </b:Source>
  <b:Source>
    <b:Tag>Jah23</b:Tag>
    <b:SourceType>JournalArticle</b:SourceType>
    <b:Guid>{9B6DF28E-4CC1-4BC3-9A8E-989D1A3F07B4}</b:Guid>
    <b:Title>Fairness Issues in Algorithmic Digital Marketing: Marketers’ Perceptions</b:Title>
    <b:Year>2023</b:Year>
    <b:Author>
      <b:Author>
        <b:NameList>
          <b:Person>
            <b:Last>Otterbacher</b:Last>
            <b:First>Jahna</b:First>
          </b:Person>
          <b:Person>
            <b:Last>Pavlidou</b:Last>
            <b:First>Veronika</b:First>
          </b:Person>
          <b:Person>
            <b:Last>Kleanthous</b:Last>
            <b:First>Styliani</b:First>
          </b:Person>
        </b:NameList>
      </b:Author>
    </b:Author>
    <b:JournalName>Lecture Notes in Business Information Processing</b:JournalName>
    <b:Pages>319-338</b:Pages>
    <b:RefOrder>16</b:RefOrder>
  </b:Source>
  <b:Source>
    <b:Tag>BCG22</b:Tag>
    <b:SourceType>InternetSite</b:SourceType>
    <b:Guid>{253F6AB0-01B5-4BEE-BCF2-F0076B618ADC}</b:Guid>
    <b:Title>Taking Digital Banking Beyond Customer Journeys</b:Title>
    <b:Year>2022</b:Year>
    <b:Author>
      <b:Author>
        <b:Corporate>BCG</b:Corporate>
      </b:Author>
    </b:Author>
    <b:YearAccessed>2022</b:YearAccessed>
    <b:MonthAccessed>July</b:MonthAccessed>
    <b:DayAccessed>5</b:DayAccessed>
    <b:URL>https://www.bcg.com/publications/2022/customer-value-and-banking-in-the-digital-age</b:URL>
    <b:RefOrder>1</b:RefOrder>
  </b:Source>
  <b:Source>
    <b:Tag>Gar22</b:Tag>
    <b:SourceType>JournalArticle</b:SourceType>
    <b:Guid>{6CECEDEC-101D-42F1-B7F5-651367B53D68}</b:Guid>
    <b:Author>
      <b:Author>
        <b:NameList>
          <b:Person>
            <b:Last>Gardner</b:Last>
            <b:First>Benjamin</b:First>
          </b:Person>
          <b:Person>
            <b:Last>Rebar</b:Last>
            <b:First>Amanda</b:First>
            <b:Middle>L.</b:Middle>
          </b:Person>
          <b:Person>
            <b:Last>Lally</b:Last>
            <b:First>Phillippa</b:First>
          </b:Person>
        </b:NameList>
      </b:Author>
    </b:Author>
    <b:Title>How does habit form? Guidelines for tracking real-world habit formation</b:Title>
    <b:JournalName>Cogent Psychology</b:JournalName>
    <b:Year>2022</b:Year>
    <b:Pages>277</b:Pages>
    <b:Volume>9</b:Volume>
    <b:Issue>1</b:Issue>
    <b:City>2019</b:City>
    <b:RefOrder>5</b:RefOrder>
  </b:Source>
  <b:Source>
    <b:Tag>Roc17</b:Tag>
    <b:SourceType>JournalArticle</b:SourceType>
    <b:Guid>{3C231D2E-3AE8-407B-AA68-16C116869782}</b:Guid>
    <b:Author>
      <b:Author>
        <b:NameList>
          <b:Person>
            <b:Last>Chen</b:Last>
            <b:First>Rocky</b:First>
            <b:Middle>Peng</b:Middle>
          </b:Person>
          <b:Person>
            <b:Last>Wan</b:Last>
            <b:First>Echo</b:First>
            <b:Middle>Wen</b:Middle>
          </b:Person>
          <b:Person>
            <b:Last>Levy</b:Last>
            <b:First>Eric</b:First>
          </b:Person>
        </b:NameList>
      </b:Author>
    </b:Author>
    <b:Title>The effect of social exclusion on consumer preference for anthropomorphized brands</b:Title>
    <b:JournalName>Society for Consumer Psychology</b:JournalName>
    <b:Year>2017</b:Year>
    <b:Pages>23-24</b:Pages>
    <b:Volume>27</b:Volume>
    <b:Issue>1</b:Issue>
    <b:RefOrder>6</b:RefOrder>
  </b:Source>
  <b:Source>
    <b:Tag>Vin22</b:Tag>
    <b:SourceType>InternetSite</b:SourceType>
    <b:Guid>{832787EE-D7C5-459E-8B5A-9A6F42E4A457}</b:Guid>
    <b:Title>Using SHAP Values to Explain How Your Machine Learning Model Works</b:Title>
    <b:Year>2022</b:Year>
    <b:Author>
      <b:Author>
        <b:NameList>
          <b:Person>
            <b:Last>Trevisan</b:Last>
            <b:First>Vinícius</b:First>
          </b:Person>
        </b:NameList>
      </b:Author>
    </b:Author>
    <b:YearAccessed>2022</b:YearAccessed>
    <b:MonthAccessed>January</b:MonthAccessed>
    <b:DayAccessed>17</b:DayAccessed>
    <b:URL>https://towardsdatascience.com/using-shap-values-to-explain-how-your-machine-learning-model-works-732b3f40e137/</b:URL>
    <b:RefOrder>7</b:RefOrder>
  </b:Source>
  <b:Source>
    <b:Tag>DrO23</b:Tag>
    <b:SourceType>Book</b:SourceType>
    <b:Guid>{04067814-8DEE-45A3-8926-902311D12D27}</b:Guid>
    <b:Title>ENHANCING MARKETING STRATEGIES THROUGH PERSONALIZED MARKETING: A LITERATURE REVIEW</b:Title>
    <b:JournalName>Altuğ Ocak</b:JournalName>
    <b:Year>2023</b:Year>
    <b:Author>
      <b:Author>
        <b:NameList>
          <b:Person>
            <b:Last>Bulut</b:Last>
            <b:First>Dr.</b:First>
            <b:Middle>Omer Ugur</b:Middle>
          </b:Person>
        </b:NameList>
      </b:Author>
    </b:Author>
    <b:Publisher>YAZ Publications</b:Publisher>
    <b:RefOrder>13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ec842255-1225-496f-b1c6-5e034c43d5de" xsi:nil="true"/>
  </documentManagement>
</p:properties>
</file>

<file path=customXml/itemProps1.xml><?xml version="1.0" encoding="utf-8"?>
<ds:datastoreItem xmlns:ds="http://schemas.openxmlformats.org/officeDocument/2006/customXml" ds:itemID="{991558E7-1843-436E-9CD3-2A78B7CA0A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842255-1225-496f-b1c6-5e034c43d5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66C287-5DB1-4527-AC34-ABC868A8F88D}">
  <ds:schemaRefs>
    <ds:schemaRef ds:uri="http://schemas.microsoft.com/sharepoint/v3/contenttype/forms"/>
  </ds:schemaRefs>
</ds:datastoreItem>
</file>

<file path=customXml/itemProps3.xml><?xml version="1.0" encoding="utf-8"?>
<ds:datastoreItem xmlns:ds="http://schemas.openxmlformats.org/officeDocument/2006/customXml" ds:itemID="{12E09994-3D38-4201-BD00-953322B1D92D}">
  <ds:schemaRefs>
    <ds:schemaRef ds:uri="http://schemas.openxmlformats.org/officeDocument/2006/bibliography"/>
  </ds:schemaRefs>
</ds:datastoreItem>
</file>

<file path=customXml/itemProps4.xml><?xml version="1.0" encoding="utf-8"?>
<ds:datastoreItem xmlns:ds="http://schemas.openxmlformats.org/officeDocument/2006/customXml" ds:itemID="{9DAF3BFD-4FB7-4D44-A3BC-05045A2266F9}">
  <ds:schemaRefs>
    <ds:schemaRef ds:uri="http://schemas.microsoft.com/office/2006/metadata/properties"/>
    <ds:schemaRef ds:uri="http://schemas.microsoft.com/office/infopath/2007/PartnerControls"/>
    <ds:schemaRef ds:uri="ec842255-1225-496f-b1c6-5e034c43d5de"/>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25</Pages>
  <Words>4952</Words>
  <Characters>28228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Swain (MSc Business Analytics FT)</dc:creator>
  <cp:keywords/>
  <dc:description/>
  <cp:lastModifiedBy>Anindya Swain (MSc Business Analytics FT)</cp:lastModifiedBy>
  <cp:revision>151</cp:revision>
  <cp:lastPrinted>2025-05-05T21:16:00Z</cp:lastPrinted>
  <dcterms:created xsi:type="dcterms:W3CDTF">2025-05-04T23:42:00Z</dcterms:created>
  <dcterms:modified xsi:type="dcterms:W3CDTF">2025-07-25T15:56:00Z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0x010100F18C7FF49CD8284BB1DB224C9E181563</vt:lpwstr>
  </property>
</Properties>
</file>