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Freight Rate Prediction — Model and Validation Report</w:t>
      </w:r>
    </w:p>
    <w:p>
      <w:r>
        <w:rPr>
          <w:sz w:val="19"/>
        </w:rPr>
        <w:t>Spotter AI ML assessment · Anindya Kundu · October 2026</w:t>
      </w:r>
    </w:p>
    <w:p>
      <w:pPr>
        <w:pStyle w:val="Heading1"/>
      </w:pPr>
      <w:r>
        <w:t>1. Summary</w:t>
      </w:r>
    </w:p>
    <w:p>
      <w:r>
        <w:t>The task is to predict posted_rate for 12,000 loads in November–December 2025, using 48,000 labelled loads from January–October 2025. That makes it a forecast one to two months ahead, and the validation is built around that.</w:t>
      </w:r>
    </w:p>
    <w:p>
      <w:pPr>
        <w:pStyle w:val="ListBullet"/>
      </w:pPr>
      <w:r>
        <w:rPr>
          <w:b/>
        </w:rPr>
        <w:t>Model:</w:t>
      </w:r>
      <w:r>
        <w:t xml:space="preserve"> a linear model on log price (distance, weight, equipment, market_index, smooth geography, a linear time trend and an equipment-specific quarter-end ramp), followed by LightGBM on its residuals. The residual model has no trend features, so it cannot flatten the forward projection.</w:t>
      </w:r>
    </w:p>
    <w:p>
      <w:pPr>
        <w:pStyle w:val="ListBullet"/>
      </w:pPr>
      <w:r>
        <w:rPr>
          <w:b/>
        </w:rPr>
        <w:t>Results:</w:t>
      </w:r>
      <w:r>
        <w:t xml:space="preserve"> fold-average MAE $85.2 on raw labels, against $113.7 for an XGBoost/LightGBM blend (an earlier candidate solution); $88.5 on the two-months-ahead block (train Jan–Aug, test Sep–Oct). On labels with the corrupted rows removed, the error is 1.33% MAPE.</w:t>
      </w:r>
    </w:p>
    <w:p>
      <w:pPr>
        <w:pStyle w:val="ListBullet"/>
      </w:pPr>
      <w:r>
        <w:rPr>
          <w:b/>
        </w:rPr>
        <w:t>Key data issue:</w:t>
      </w:r>
      <w:r>
        <w:t xml:space="preserve"> 677 training labels (1.4%) are corrupted by a multiplicative factor (about ×3.3 or ×0.29). They are detected and dropped from training. The same corruption presumably exists in the validation labels and sets a floor on any model's raw error.</w:t>
      </w:r>
    </w:p>
    <w:p>
      <w:pPr>
        <w:pStyle w:val="ListBullet"/>
      </w:pPr>
      <w:r>
        <w:rPr>
          <w:b/>
        </w:rPr>
        <w:t>December chart:</w:t>
      </w:r>
      <w:r>
        <w:t xml:space="preserve"> $839 on 1 December rising to $881 on the 31st, with a weekly cycle (Thursday peaks) on top of the quarter-end ramp.</w:t>
      </w:r>
    </w:p>
    <w:p>
      <w:pPr>
        <w:jc w:val="center"/>
      </w:pPr>
      <w:r>
        <w:drawing>
          <wp:inline xmlns:a="http://schemas.openxmlformats.org/drawingml/2006/main" xmlns:pic="http://schemas.openxmlformats.org/drawingml/2006/picture">
            <wp:extent cx="5486400" cy="1786934"/>
            <wp:docPr id="1" name="Picture 1"/>
            <wp:cNvGraphicFramePr>
              <a:graphicFrameLocks noChangeAspect="1"/>
            </wp:cNvGraphicFramePr>
            <a:graphic>
              <a:graphicData uri="http://schemas.openxmlformats.org/drawingml/2006/picture">
                <pic:pic>
                  <pic:nvPicPr>
                    <pic:cNvPr id="0" name="candidate_december.png"/>
                    <pic:cNvPicPr/>
                  </pic:nvPicPr>
                  <pic:blipFill>
                    <a:blip r:embed="rId9"/>
                    <a:stretch>
                      <a:fillRect/>
                    </a:stretch>
                  </pic:blipFill>
                  <pic:spPr>
                    <a:xfrm>
                      <a:off x="0" y="0"/>
                      <a:ext cx="5486400" cy="1786934"/>
                    </a:xfrm>
                    <a:prstGeom prst="rect"/>
                  </pic:spPr>
                </pic:pic>
              </a:graphicData>
            </a:graphic>
          </wp:inline>
        </w:drawing>
      </w:r>
    </w:p>
    <w:p>
      <w:pPr>
        <w:jc w:val="center"/>
      </w:pPr>
      <w:r>
        <w:rPr>
          <w:i/>
          <w:color w:val="52514E"/>
          <w:sz w:val="17"/>
        </w:rPr>
        <w:t>Figure 1. December 2025 chart produced by score.py from the submitted predictions.</w:t>
      </w:r>
    </w:p>
    <w:p>
      <w:pPr>
        <w:pStyle w:val="Heading1"/>
      </w:pPr>
      <w:r>
        <w:t>2. Data and key findings</w:t>
      </w:r>
    </w:p>
    <w:p>
      <w:pPr>
        <w:pStyle w:val="ListBullet"/>
      </w:pPr>
      <w:r>
        <w:rPr>
          <w:b/>
        </w:rPr>
        <w:t>Distance and equipment.</w:t>
      </w:r>
      <w:r>
        <w:t xml:space="preserve"> Distance explains most of the price: the correlation is 0.989 once the corrupted labels are removed (0.909 with them). Median rate per mile is $2.05 for Dry Van, $2.22 for Flatbed and $2.31 for Reefer. Price grows less than proportionally with distance (log-log slope 0.87).</w:t>
      </w:r>
    </w:p>
    <w:p>
      <w:pPr>
        <w:pStyle w:val="ListBullet"/>
      </w:pPr>
      <w:r>
        <w:rPr>
          <w:b/>
        </w:rPr>
        <w:t>A daily market signal.</w:t>
      </w:r>
      <w:r>
        <w:t xml:space="preserve"> market_index varies far more between days than within a day. Its weekly cycle bottoms on Sunday/Monday and peaks on Thursday. It averages 1.08 in training and 0.93 in validation, so it is a genuine input for Nov–Dec. Its price elasticity is 0.15.</w:t>
      </w:r>
    </w:p>
    <w:p>
      <w:pPr>
        <w:pStyle w:val="ListBullet"/>
      </w:pPr>
      <w:r>
        <w:rPr>
          <w:b/>
        </w:rPr>
        <w:t>Time structure that market_index does not explain.</w:t>
      </w:r>
      <w:r>
        <w:t xml:space="preserve"> Once market_index is controlled for, prices still drift up about 6% from January to October. They also climb through every quarter-end month (March, June, September) and reset on the 1st: Flatbed +8.1%, Reefer +5.1%, Dry Van +2.5% from the first day of the month to the last (Figure 2; fitted values from the final model). December is a quarter-end month.</w:t>
      </w:r>
    </w:p>
    <w:p>
      <w:pPr>
        <w:jc w:val="center"/>
      </w:pPr>
      <w:r>
        <w:drawing>
          <wp:inline xmlns:a="http://schemas.openxmlformats.org/drawingml/2006/main" xmlns:pic="http://schemas.openxmlformats.org/drawingml/2006/picture">
            <wp:extent cx="5760720" cy="2695722"/>
            <wp:docPr id="2" name="Picture 2"/>
            <wp:cNvGraphicFramePr>
              <a:graphicFrameLocks noChangeAspect="1"/>
            </wp:cNvGraphicFramePr>
            <a:graphic>
              <a:graphicData uri="http://schemas.openxmlformats.org/drawingml/2006/picture">
                <pic:pic>
                  <pic:nvPicPr>
                    <pic:cNvPr id="0" name="time_structure.png"/>
                    <pic:cNvPicPr/>
                  </pic:nvPicPr>
                  <pic:blipFill>
                    <a:blip r:embed="rId10"/>
                    <a:stretch>
                      <a:fillRect/>
                    </a:stretch>
                  </pic:blipFill>
                  <pic:spPr>
                    <a:xfrm>
                      <a:off x="0" y="0"/>
                      <a:ext cx="5760720" cy="2695722"/>
                    </a:xfrm>
                    <a:prstGeom prst="rect"/>
                  </pic:spPr>
                </pic:pic>
              </a:graphicData>
            </a:graphic>
          </wp:inline>
        </w:drawing>
      </w:r>
    </w:p>
    <w:p>
      <w:pPr>
        <w:jc w:val="center"/>
      </w:pPr>
      <w:r>
        <w:rPr>
          <w:i/>
          <w:color w:val="52514E"/>
          <w:sz w:val="17"/>
        </w:rPr>
        <w:t>Figure 2. Daily mean residual by equipment from a model with no time terms (3-day mean). Dotted lines mark quarter ends.</w:t>
      </w:r>
    </w:p>
    <w:p>
      <w:pPr>
        <w:jc w:val="center"/>
      </w:pPr>
      <w:r>
        <w:drawing>
          <wp:inline xmlns:a="http://schemas.openxmlformats.org/drawingml/2006/main" xmlns:pic="http://schemas.openxmlformats.org/drawingml/2006/picture">
            <wp:extent cx="5760720" cy="2059655"/>
            <wp:docPr id="3" name="Picture 3"/>
            <wp:cNvGraphicFramePr>
              <a:graphicFrameLocks noChangeAspect="1"/>
            </wp:cNvGraphicFramePr>
            <a:graphic>
              <a:graphicData uri="http://schemas.openxmlformats.org/drawingml/2006/picture">
                <pic:pic>
                  <pic:nvPicPr>
                    <pic:cNvPr id="0" name="market_index.png"/>
                    <pic:cNvPicPr/>
                  </pic:nvPicPr>
                  <pic:blipFill>
                    <a:blip r:embed="rId11"/>
                    <a:stretch>
                      <a:fillRect/>
                    </a:stretch>
                  </pic:blipFill>
                  <pic:spPr>
                    <a:xfrm>
                      <a:off x="0" y="0"/>
                      <a:ext cx="5760720" cy="2059655"/>
                    </a:xfrm>
                    <a:prstGeom prst="rect"/>
                  </pic:spPr>
                </pic:pic>
              </a:graphicData>
            </a:graphic>
          </wp:inline>
        </w:drawing>
      </w:r>
    </w:p>
    <w:p>
      <w:pPr>
        <w:jc w:val="center"/>
      </w:pPr>
      <w:r>
        <w:rPr>
          <w:i/>
          <w:color w:val="52514E"/>
          <w:sz w:val="17"/>
        </w:rPr>
        <w:t>Figure 3. market_index: lower in Nov–Dec, with the same weekly cycle.</w:t>
      </w:r>
    </w:p>
    <w:p>
      <w:pPr>
        <w:pStyle w:val="ListBullet"/>
      </w:pPr>
      <w:r>
        <w:rPr>
          <w:b/>
        </w:rPr>
        <w:t>Unseen cities.</w:t>
      </w:r>
      <w:r>
        <w:t xml:space="preserve"> 8 validation cities never appear in training (1,447 rows, 12%). In training, city effects are small (−3.7% to +2.7%), almost identical whether the city is the pickup or the delivery (r = 0.99), and track latitude (r = −0.86, Figure 4). A smooth function of the coordinates therefore carries over to unseen cities. The coordinates are shifted from the real cities but are consistent for each city, so they are used as given.</w:t>
      </w:r>
    </w:p>
    <w:p>
      <w:pPr>
        <w:jc w:val="center"/>
      </w:pPr>
      <w:r>
        <w:drawing>
          <wp:inline xmlns:a="http://schemas.openxmlformats.org/drawingml/2006/main" xmlns:pic="http://schemas.openxmlformats.org/drawingml/2006/picture">
            <wp:extent cx="3566160" cy="2553140"/>
            <wp:docPr id="4" name="Picture 4"/>
            <wp:cNvGraphicFramePr>
              <a:graphicFrameLocks noChangeAspect="1"/>
            </wp:cNvGraphicFramePr>
            <a:graphic>
              <a:graphicData uri="http://schemas.openxmlformats.org/drawingml/2006/picture">
                <pic:pic>
                  <pic:nvPicPr>
                    <pic:cNvPr id="0" name="city_effects.png"/>
                    <pic:cNvPicPr/>
                  </pic:nvPicPr>
                  <pic:blipFill>
                    <a:blip r:embed="rId12"/>
                    <a:stretch>
                      <a:fillRect/>
                    </a:stretch>
                  </pic:blipFill>
                  <pic:spPr>
                    <a:xfrm>
                      <a:off x="0" y="0"/>
                      <a:ext cx="3566160" cy="2553140"/>
                    </a:xfrm>
                    <a:prstGeom prst="rect"/>
                  </pic:spPr>
                </pic:pic>
              </a:graphicData>
            </a:graphic>
          </wp:inline>
        </w:drawing>
      </w:r>
    </w:p>
    <w:p>
      <w:pPr>
        <w:jc w:val="center"/>
      </w:pPr>
      <w:r>
        <w:rPr>
          <w:i/>
          <w:color w:val="52514E"/>
          <w:sz w:val="17"/>
        </w:rPr>
        <w:t>Figure 4. City price effect against latitude.</w:t>
      </w:r>
    </w:p>
    <w:p>
      <w:pPr>
        <w:pStyle w:val="ListBullet"/>
      </w:pPr>
      <w:r>
        <w:rPr>
          <w:b/>
        </w:rPr>
        <w:t>quote_signal is noise.</w:t>
      </w:r>
      <w:r>
        <w:t xml:space="preserve"> Within lane × equipment groups, after weight, market_index and time terms, adding quote_signal leaves the residual SD unchanged (0.0226 vs 0.0226). Its apparent signal comes from the equipment mix. Adding it to the hybrid worsens the fold-average MAE ($86.7 vs $85.2), and removing it improves Codex's LightGBM ($113.8 → $102.9). It is dropped.</w:t>
      </w:r>
    </w:p>
    <w:p>
      <w:pPr>
        <w:pStyle w:val="Heading1"/>
      </w:pPr>
      <w:r>
        <w:t>3. Data-quality issues and fixes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456"/>
            <w:shd w:val="clear" w:color="auto" w:fill="E8EEF6"/>
          </w:tcPr>
          <w:p>
            <w:pPr>
              <w:spacing w:before="20" w:after="20"/>
            </w:pPr>
            <w:r/>
            <w:r>
              <w:rPr>
                <w:b/>
                <w:sz w:val="17"/>
              </w:rPr>
              <w:t>Issue</w:t>
            </w:r>
          </w:p>
        </w:tc>
        <w:tc>
          <w:tcPr>
            <w:tcW w:type="dxa" w:w="864"/>
            <w:shd w:val="clear" w:color="auto" w:fill="E8EEF6"/>
          </w:tcPr>
          <w:p>
            <w:pPr>
              <w:spacing w:before="20" w:after="20"/>
              <w:jc w:val="right"/>
            </w:pPr>
            <w:r/>
            <w:r>
              <w:rPr>
                <w:b/>
                <w:sz w:val="17"/>
              </w:rPr>
              <w:t>Train</w:t>
            </w:r>
          </w:p>
        </w:tc>
        <w:tc>
          <w:tcPr>
            <w:tcW w:type="dxa" w:w="1080"/>
            <w:shd w:val="clear" w:color="auto" w:fill="E8EEF6"/>
          </w:tcPr>
          <w:p>
            <w:pPr>
              <w:spacing w:before="20" w:after="20"/>
              <w:jc w:val="right"/>
            </w:pPr>
            <w:r/>
            <w:r>
              <w:rPr>
                <w:b/>
                <w:sz w:val="17"/>
              </w:rPr>
              <w:t>Validation</w:t>
            </w:r>
          </w:p>
        </w:tc>
        <w:tc>
          <w:tcPr>
            <w:tcW w:type="dxa" w:w="4320"/>
            <w:shd w:val="clear" w:color="auto" w:fill="E8EEF6"/>
          </w:tcPr>
          <w:p>
            <w:pPr>
              <w:spacing w:before="20" w:after="20"/>
            </w:pPr>
            <w:r/>
            <w:r>
              <w:rPr>
                <w:b/>
                <w:sz w:val="17"/>
              </w:rPr>
              <w:t>Handling</w:t>
            </w:r>
          </w:p>
        </w:tc>
      </w:tr>
      <w:tr>
        <w:tc>
          <w:tcPr>
            <w:tcW w:type="dxa" w:w="3456"/>
          </w:tcPr>
          <w:p>
            <w:pPr>
              <w:spacing w:before="20" w:after="20"/>
            </w:pPr>
            <w:r/>
            <w:r>
              <w:rPr>
                <w:sz w:val="17"/>
              </w:rPr>
              <w:t>Weight missing</w:t>
            </w:r>
          </w:p>
        </w:tc>
        <w:tc>
          <w:tcPr>
            <w:tcW w:type="dxa" w:w="864"/>
          </w:tcPr>
          <w:p>
            <w:pPr>
              <w:spacing w:before="20" w:after="20"/>
              <w:jc w:val="right"/>
            </w:pPr>
            <w:r/>
            <w:r>
              <w:rPr>
                <w:sz w:val="17"/>
              </w:rPr>
              <w:t>300</w:t>
            </w:r>
          </w:p>
        </w:tc>
        <w:tc>
          <w:tcPr>
            <w:tcW w:type="dxa" w:w="1080"/>
          </w:tcPr>
          <w:p>
            <w:pPr>
              <w:spacing w:before="20" w:after="20"/>
              <w:jc w:val="right"/>
            </w:pPr>
            <w:r/>
            <w:r>
              <w:rPr>
                <w:sz w:val="17"/>
              </w:rPr>
              <w:t>165</w:t>
            </w:r>
          </w:p>
        </w:tc>
        <w:tc>
          <w:tcPr>
            <w:tcW w:type="dxa" w:w="4320"/>
          </w:tcPr>
          <w:p>
            <w:pPr>
              <w:spacing w:before="20" w:after="20"/>
            </w:pPr>
            <w:r/>
            <w:r>
              <w:rPr>
                <w:sz w:val="17"/>
              </w:rPr>
              <w:t>Fill with training median |weight|; w_miss flag</w:t>
            </w:r>
          </w:p>
        </w:tc>
      </w:tr>
      <w:tr>
        <w:tc>
          <w:tcPr>
            <w:tcW w:type="dxa" w:w="3456"/>
          </w:tcPr>
          <w:p>
            <w:pPr>
              <w:spacing w:before="20" w:after="20"/>
            </w:pPr>
            <w:r/>
            <w:r>
              <w:rPr>
                <w:sz w:val="17"/>
              </w:rPr>
              <w:t>Weight negative (sign flip)</w:t>
            </w:r>
          </w:p>
        </w:tc>
        <w:tc>
          <w:tcPr>
            <w:tcW w:type="dxa" w:w="864"/>
          </w:tcPr>
          <w:p>
            <w:pPr>
              <w:spacing w:before="20" w:after="20"/>
              <w:jc w:val="right"/>
            </w:pPr>
            <w:r/>
            <w:r>
              <w:rPr>
                <w:sz w:val="17"/>
              </w:rPr>
              <w:t>292</w:t>
            </w:r>
          </w:p>
        </w:tc>
        <w:tc>
          <w:tcPr>
            <w:tcW w:type="dxa" w:w="1080"/>
          </w:tcPr>
          <w:p>
            <w:pPr>
              <w:spacing w:before="20" w:after="20"/>
              <w:jc w:val="right"/>
            </w:pPr>
            <w:r/>
            <w:r>
              <w:rPr>
                <w:sz w:val="17"/>
              </w:rPr>
              <w:t>145</w:t>
            </w:r>
          </w:p>
        </w:tc>
        <w:tc>
          <w:tcPr>
            <w:tcW w:type="dxa" w:w="4320"/>
          </w:tcPr>
          <w:p>
            <w:pPr>
              <w:spacing w:before="20" w:after="20"/>
            </w:pPr>
            <w:r/>
            <w:r>
              <w:rPr>
                <w:sz w:val="17"/>
              </w:rPr>
              <w:t>Absolute value; w_neg flag</w:t>
            </w:r>
          </w:p>
        </w:tc>
      </w:tr>
      <w:tr>
        <w:tc>
          <w:tcPr>
            <w:tcW w:type="dxa" w:w="3456"/>
          </w:tcPr>
          <w:p>
            <w:pPr>
              <w:spacing w:before="20" w:after="20"/>
            </w:pPr>
            <w:r/>
            <w:r>
              <w:rPr>
                <w:sz w:val="17"/>
              </w:rPr>
              <w:t>Weight at cap |w| = 47,500</w:t>
            </w:r>
          </w:p>
        </w:tc>
        <w:tc>
          <w:tcPr>
            <w:tcW w:type="dxa" w:w="864"/>
          </w:tcPr>
          <w:p>
            <w:pPr>
              <w:spacing w:before="20" w:after="20"/>
              <w:jc w:val="right"/>
            </w:pPr>
            <w:r/>
            <w:r>
              <w:rPr>
                <w:sz w:val="17"/>
              </w:rPr>
              <w:t>1,204</w:t>
            </w:r>
          </w:p>
        </w:tc>
        <w:tc>
          <w:tcPr>
            <w:tcW w:type="dxa" w:w="1080"/>
          </w:tcPr>
          <w:p>
            <w:pPr>
              <w:spacing w:before="20" w:after="20"/>
              <w:jc w:val="right"/>
            </w:pPr>
            <w:r/>
            <w:r>
              <w:rPr>
                <w:sz w:val="17"/>
              </w:rPr>
              <w:t>301</w:t>
            </w:r>
          </w:p>
        </w:tc>
        <w:tc>
          <w:tcPr>
            <w:tcW w:type="dxa" w:w="4320"/>
          </w:tcPr>
          <w:p>
            <w:pPr>
              <w:spacing w:before="20" w:after="20"/>
            </w:pPr>
            <w:r/>
            <w:r>
              <w:rPr>
                <w:sz w:val="17"/>
              </w:rPr>
              <w:t>Keep (censored); w_cap flag</w:t>
            </w:r>
          </w:p>
        </w:tc>
      </w:tr>
      <w:tr>
        <w:tc>
          <w:tcPr>
            <w:tcW w:type="dxa" w:w="3456"/>
          </w:tcPr>
          <w:p>
            <w:pPr>
              <w:spacing w:before="20" w:after="20"/>
            </w:pPr>
            <w:r/>
            <w:r>
              <w:rPr>
                <w:sz w:val="17"/>
              </w:rPr>
              <w:t xml:space="preserve">  of which -47,500</w:t>
            </w:r>
          </w:p>
        </w:tc>
        <w:tc>
          <w:tcPr>
            <w:tcW w:type="dxa" w:w="864"/>
          </w:tcPr>
          <w:p>
            <w:pPr>
              <w:spacing w:before="20" w:after="20"/>
              <w:jc w:val="right"/>
            </w:pPr>
            <w:r/>
            <w:r>
              <w:rPr>
                <w:sz w:val="17"/>
              </w:rPr>
              <w:t>13</w:t>
            </w:r>
          </w:p>
        </w:tc>
        <w:tc>
          <w:tcPr>
            <w:tcW w:type="dxa" w:w="1080"/>
          </w:tcPr>
          <w:p>
            <w:pPr>
              <w:spacing w:before="20" w:after="20"/>
              <w:jc w:val="right"/>
            </w:pPr>
            <w:r/>
            <w:r>
              <w:rPr>
                <w:sz w:val="17"/>
              </w:rPr>
              <w:t>4</w:t>
            </w:r>
          </w:p>
        </w:tc>
        <w:tc>
          <w:tcPr>
            <w:tcW w:type="dxa" w:w="4320"/>
          </w:tcPr>
          <w:p>
            <w:pPr>
              <w:spacing w:before="20" w:after="20"/>
            </w:pPr>
            <w:r/>
            <w:r>
              <w:rPr>
                <w:sz w:val="17"/>
              </w:rPr>
              <w:t>Absolute value</w:t>
            </w:r>
          </w:p>
        </w:tc>
      </w:tr>
      <w:tr>
        <w:tc>
          <w:tcPr>
            <w:tcW w:type="dxa" w:w="3456"/>
          </w:tcPr>
          <w:p>
            <w:pPr>
              <w:spacing w:before="20" w:after="20"/>
            </w:pPr>
            <w:r/>
            <w:r>
              <w:rPr>
                <w:sz w:val="17"/>
              </w:rPr>
              <w:t>Weight at floor |w| = 5,000</w:t>
            </w:r>
          </w:p>
        </w:tc>
        <w:tc>
          <w:tcPr>
            <w:tcW w:type="dxa" w:w="864"/>
          </w:tcPr>
          <w:p>
            <w:pPr>
              <w:spacing w:before="20" w:after="20"/>
              <w:jc w:val="right"/>
            </w:pPr>
            <w:r/>
            <w:r>
              <w:rPr>
                <w:sz w:val="17"/>
              </w:rPr>
              <w:t>32</w:t>
            </w:r>
          </w:p>
        </w:tc>
        <w:tc>
          <w:tcPr>
            <w:tcW w:type="dxa" w:w="1080"/>
          </w:tcPr>
          <w:p>
            <w:pPr>
              <w:spacing w:before="20" w:after="20"/>
              <w:jc w:val="right"/>
            </w:pPr>
            <w:r/>
            <w:r>
              <w:rPr>
                <w:sz w:val="17"/>
              </w:rPr>
              <w:t>7</w:t>
            </w:r>
          </w:p>
        </w:tc>
        <w:tc>
          <w:tcPr>
            <w:tcW w:type="dxa" w:w="4320"/>
          </w:tcPr>
          <w:p>
            <w:pPr>
              <w:spacing w:before="20" w:after="20"/>
            </w:pPr>
            <w:r/>
            <w:r>
              <w:rPr>
                <w:sz w:val="17"/>
              </w:rPr>
              <w:t>Keep; w_floor flag</w:t>
            </w:r>
          </w:p>
        </w:tc>
      </w:tr>
      <w:tr>
        <w:tc>
          <w:tcPr>
            <w:tcW w:type="dxa" w:w="3456"/>
          </w:tcPr>
          <w:p>
            <w:pPr>
              <w:spacing w:before="20" w:after="20"/>
            </w:pPr>
            <w:r/>
            <w:r>
              <w:rPr>
                <w:sz w:val="17"/>
              </w:rPr>
              <w:t>market_index missing</w:t>
            </w:r>
          </w:p>
        </w:tc>
        <w:tc>
          <w:tcPr>
            <w:tcW w:type="dxa" w:w="864"/>
          </w:tcPr>
          <w:p>
            <w:pPr>
              <w:spacing w:before="20" w:after="20"/>
              <w:jc w:val="right"/>
            </w:pPr>
            <w:r/>
            <w:r>
              <w:rPr>
                <w:sz w:val="17"/>
              </w:rPr>
              <w:t>374</w:t>
            </w:r>
          </w:p>
        </w:tc>
        <w:tc>
          <w:tcPr>
            <w:tcW w:type="dxa" w:w="1080"/>
          </w:tcPr>
          <w:p>
            <w:pPr>
              <w:spacing w:before="20" w:after="20"/>
              <w:jc w:val="right"/>
            </w:pPr>
            <w:r/>
            <w:r>
              <w:rPr>
                <w:sz w:val="17"/>
              </w:rPr>
              <w:t>249</w:t>
            </w:r>
          </w:p>
        </w:tc>
        <w:tc>
          <w:tcPr>
            <w:tcW w:type="dxa" w:w="4320"/>
          </w:tcPr>
          <w:p>
            <w:pPr>
              <w:spacing w:before="20" w:after="20"/>
            </w:pPr>
            <w:r/>
            <w:r>
              <w:rPr>
                <w:sz w:val="17"/>
              </w:rPr>
              <w:t>Fill with that date's mean</w:t>
            </w:r>
          </w:p>
        </w:tc>
      </w:tr>
      <w:tr>
        <w:tc>
          <w:tcPr>
            <w:tcW w:type="dxa" w:w="3456"/>
          </w:tcPr>
          <w:p>
            <w:pPr>
              <w:spacing w:before="20" w:after="20"/>
            </w:pPr>
            <w:r/>
            <w:r>
              <w:rPr>
                <w:sz w:val="17"/>
              </w:rPr>
              <w:t>Distance at 70 mi floor</w:t>
            </w:r>
          </w:p>
        </w:tc>
        <w:tc>
          <w:tcPr>
            <w:tcW w:type="dxa" w:w="864"/>
          </w:tcPr>
          <w:p>
            <w:pPr>
              <w:spacing w:before="20" w:after="20"/>
              <w:jc w:val="right"/>
            </w:pPr>
            <w:r/>
            <w:r>
              <w:rPr>
                <w:sz w:val="17"/>
              </w:rPr>
              <w:t>48</w:t>
            </w:r>
          </w:p>
        </w:tc>
        <w:tc>
          <w:tcPr>
            <w:tcW w:type="dxa" w:w="1080"/>
          </w:tcPr>
          <w:p>
            <w:pPr>
              <w:spacing w:before="20" w:after="20"/>
              <w:jc w:val="right"/>
            </w:pPr>
            <w:r/>
            <w:r>
              <w:rPr>
                <w:sz w:val="17"/>
              </w:rPr>
              <w:t>21</w:t>
            </w:r>
          </w:p>
        </w:tc>
        <w:tc>
          <w:tcPr>
            <w:tcW w:type="dxa" w:w="4320"/>
          </w:tcPr>
          <w:p>
            <w:pPr>
              <w:spacing w:before="20" w:after="20"/>
            </w:pPr>
            <w:r/>
            <w:r>
              <w:rPr>
                <w:sz w:val="17"/>
              </w:rPr>
              <w:t>Keep (clipped, not an error)</w:t>
            </w:r>
          </w:p>
        </w:tc>
      </w:tr>
      <w:tr>
        <w:tc>
          <w:tcPr>
            <w:tcW w:type="dxa" w:w="3456"/>
          </w:tcPr>
          <w:p>
            <w:pPr>
              <w:spacing w:before="20" w:after="20"/>
            </w:pPr>
            <w:r/>
            <w:r>
              <w:rPr>
                <w:sz w:val="17"/>
              </w:rPr>
              <w:t>Corrupted label (|log resid| &gt;= 0.25)</w:t>
            </w:r>
          </w:p>
        </w:tc>
        <w:tc>
          <w:tcPr>
            <w:tcW w:type="dxa" w:w="864"/>
          </w:tcPr>
          <w:p>
            <w:pPr>
              <w:spacing w:before="20" w:after="20"/>
              <w:jc w:val="right"/>
            </w:pPr>
            <w:r/>
            <w:r>
              <w:rPr>
                <w:sz w:val="17"/>
              </w:rPr>
              <w:t>677</w:t>
            </w:r>
          </w:p>
        </w:tc>
        <w:tc>
          <w:tcPr>
            <w:tcW w:type="dxa" w:w="1080"/>
          </w:tcPr>
          <w:p>
            <w:pPr>
              <w:spacing w:before="20" w:after="20"/>
              <w:jc w:val="right"/>
            </w:pPr>
            <w:r/>
            <w:r>
              <w:rPr>
                <w:sz w:val="17"/>
              </w:rPr>
              <w:t>—</w:t>
            </w:r>
          </w:p>
        </w:tc>
        <w:tc>
          <w:tcPr>
            <w:tcW w:type="dxa" w:w="4320"/>
          </w:tcPr>
          <w:p>
            <w:pPr>
              <w:spacing w:before="20" w:after="20"/>
            </w:pPr>
            <w:r/>
            <w:r>
              <w:rPr>
                <w:sz w:val="17"/>
              </w:rPr>
              <w:t>Dropped from training only (detector refitted inside each fold)</w:t>
            </w:r>
          </w:p>
        </w:tc>
      </w:tr>
      <w:tr>
        <w:tc>
          <w:tcPr>
            <w:tcW w:type="dxa" w:w="3456"/>
          </w:tcPr>
          <w:p>
            <w:pPr>
              <w:spacing w:before="20" w:after="20"/>
            </w:pPr>
            <w:r/>
            <w:r>
              <w:rPr>
                <w:sz w:val="17"/>
              </w:rPr>
              <w:t xml:space="preserve">  high cluster (median x3.33, range x2.21-5.26)</w:t>
            </w:r>
          </w:p>
        </w:tc>
        <w:tc>
          <w:tcPr>
            <w:tcW w:type="dxa" w:w="864"/>
          </w:tcPr>
          <w:p>
            <w:pPr>
              <w:spacing w:before="20" w:after="20"/>
              <w:jc w:val="right"/>
            </w:pPr>
            <w:r/>
            <w:r>
              <w:rPr>
                <w:sz w:val="17"/>
              </w:rPr>
              <w:t>340</w:t>
            </w:r>
          </w:p>
        </w:tc>
        <w:tc>
          <w:tcPr>
            <w:tcW w:type="dxa" w:w="1080"/>
          </w:tcPr>
          <w:p>
            <w:pPr>
              <w:spacing w:before="20" w:after="20"/>
              <w:jc w:val="right"/>
            </w:pPr>
            <w:r/>
            <w:r>
              <w:rPr>
                <w:sz w:val="17"/>
              </w:rPr>
              <w:t>—</w:t>
            </w:r>
          </w:p>
        </w:tc>
        <w:tc>
          <w:tcPr>
            <w:tcW w:type="dxa" w:w="4320"/>
          </w:tcPr>
          <w:p>
            <w:pPr>
              <w:spacing w:before="20" w:after="20"/>
            </w:pPr>
            <w:r/>
            <w:r>
              <w:rPr>
                <w:sz w:val="17"/>
              </w:rPr>
            </w:r>
          </w:p>
        </w:tc>
      </w:tr>
      <w:tr>
        <w:tc>
          <w:tcPr>
            <w:tcW w:type="dxa" w:w="3456"/>
          </w:tcPr>
          <w:p>
            <w:pPr>
              <w:spacing w:before="20" w:after="20"/>
            </w:pPr>
            <w:r/>
            <w:r>
              <w:rPr>
                <w:sz w:val="17"/>
              </w:rPr>
              <w:t xml:space="preserve">  low cluster (median x0.29, range x0.17-0.45)</w:t>
            </w:r>
          </w:p>
        </w:tc>
        <w:tc>
          <w:tcPr>
            <w:tcW w:type="dxa" w:w="864"/>
          </w:tcPr>
          <w:p>
            <w:pPr>
              <w:spacing w:before="20" w:after="20"/>
              <w:jc w:val="right"/>
            </w:pPr>
            <w:r/>
            <w:r>
              <w:rPr>
                <w:sz w:val="17"/>
              </w:rPr>
              <w:t>337</w:t>
            </w:r>
          </w:p>
        </w:tc>
        <w:tc>
          <w:tcPr>
            <w:tcW w:type="dxa" w:w="1080"/>
          </w:tcPr>
          <w:p>
            <w:pPr>
              <w:spacing w:before="20" w:after="20"/>
              <w:jc w:val="right"/>
            </w:pPr>
            <w:r/>
            <w:r>
              <w:rPr>
                <w:sz w:val="17"/>
              </w:rPr>
              <w:t>—</w:t>
            </w:r>
          </w:p>
        </w:tc>
        <w:tc>
          <w:tcPr>
            <w:tcW w:type="dxa" w:w="4320"/>
          </w:tcPr>
          <w:p>
            <w:pPr>
              <w:spacing w:before="20" w:after="20"/>
            </w:pPr>
            <w:r/>
            <w:r>
              <w:rPr>
                <w:sz w:val="17"/>
              </w:rPr>
            </w:r>
          </w:p>
        </w:tc>
      </w:tr>
    </w:tbl>
    <w:p>
      <w:pPr>
        <w:spacing w:after="40"/>
      </w:pPr>
    </w:p>
    <w:p>
      <w:r>
        <w:t>Corrupted labels are found with a two-pass robust fit. The first pass fits the structural model on log price with least squares. The second refits it on rows with |residual| &lt; 0.30. Rows with |residual| ≥ 0.25 are then flagged. The clusters are far from the clean rows: no residual falls between 0.12 and 0.79 (Figure 5), so cut-offs of 0.20, 0.25 and 0.30 flag the same rows. The detector is refitted inside every fold, and flagged rows are removed from training only; every validation row is predicted. The other repairs touch inputs only: missing values get flags, so the model can learn whatever their absence means.</w:t>
      </w:r>
    </w:p>
    <w:p>
      <w:pPr>
        <w:jc w:val="center"/>
      </w:pPr>
      <w:r>
        <w:drawing>
          <wp:inline xmlns:a="http://schemas.openxmlformats.org/drawingml/2006/main" xmlns:pic="http://schemas.openxmlformats.org/drawingml/2006/picture">
            <wp:extent cx="5760720" cy="2561340"/>
            <wp:docPr id="5" name="Picture 5"/>
            <wp:cNvGraphicFramePr>
              <a:graphicFrameLocks noChangeAspect="1"/>
            </wp:cNvGraphicFramePr>
            <a:graphic>
              <a:graphicData uri="http://schemas.openxmlformats.org/drawingml/2006/picture">
                <pic:pic>
                  <pic:nvPicPr>
                    <pic:cNvPr id="0" name="corrupted_labels.png"/>
                    <pic:cNvPicPr/>
                  </pic:nvPicPr>
                  <pic:blipFill>
                    <a:blip r:embed="rId13"/>
                    <a:stretch>
                      <a:fillRect/>
                    </a:stretch>
                  </pic:blipFill>
                  <pic:spPr>
                    <a:xfrm>
                      <a:off x="0" y="0"/>
                      <a:ext cx="5760720" cy="2561340"/>
                    </a:xfrm>
                    <a:prstGeom prst="rect"/>
                  </pic:spPr>
                </pic:pic>
              </a:graphicData>
            </a:graphic>
          </wp:inline>
        </w:drawing>
      </w:r>
    </w:p>
    <w:p>
      <w:pPr>
        <w:jc w:val="center"/>
      </w:pPr>
      <w:r>
        <w:rPr>
          <w:i/>
          <w:color w:val="52514E"/>
          <w:sz w:val="17"/>
        </w:rPr>
        <w:t>Figure 5. log(actual / expected) on the full training set (log count scale).</w:t>
      </w:r>
    </w:p>
    <w:p>
      <w:pPr>
        <w:pStyle w:val="Heading1"/>
      </w:pPr>
      <w:r>
        <w:t>4. Split and validation approach</w:t>
      </w:r>
    </w:p>
    <w:p>
      <w:r>
        <w:t>The validation set is the two months after the training data, so every split looks forward in time. Three expanding folds test August, September and October with all earlier data. A fourth block, h2, trains through August and tests September–October: like Nov–Dec, it is one to two months past the end of training, and it spans a quarter-end. Everything was refitted from scratch in each fold, including the label cleaning and the weight imputation.</w:t>
      </w:r>
    </w:p>
    <w:p>
      <w:pPr>
        <w:jc w:val="center"/>
      </w:pPr>
      <w:r>
        <w:drawing>
          <wp:inline xmlns:a="http://schemas.openxmlformats.org/drawingml/2006/main" xmlns:pic="http://schemas.openxmlformats.org/drawingml/2006/picture">
            <wp:extent cx="5760720" cy="1708407"/>
            <wp:docPr id="6" name="Picture 6"/>
            <wp:cNvGraphicFramePr>
              <a:graphicFrameLocks noChangeAspect="1"/>
            </wp:cNvGraphicFramePr>
            <a:graphic>
              <a:graphicData uri="http://schemas.openxmlformats.org/drawingml/2006/picture">
                <pic:pic>
                  <pic:nvPicPr>
                    <pic:cNvPr id="0" name="folds.png"/>
                    <pic:cNvPicPr/>
                  </pic:nvPicPr>
                  <pic:blipFill>
                    <a:blip r:embed="rId14"/>
                    <a:stretch>
                      <a:fillRect/>
                    </a:stretch>
                  </pic:blipFill>
                  <pic:spPr>
                    <a:xfrm>
                      <a:off x="0" y="0"/>
                      <a:ext cx="5760720" cy="1708407"/>
                    </a:xfrm>
                    <a:prstGeom prst="rect"/>
                  </pic:spPr>
                </pic:pic>
              </a:graphicData>
            </a:graphic>
          </wp:inline>
        </w:drawing>
      </w:r>
    </w:p>
    <w:p>
      <w:pPr>
        <w:jc w:val="center"/>
      </w:pPr>
      <w:r>
        <w:rPr>
          <w:i/>
          <w:color w:val="52514E"/>
          <w:sz w:val="17"/>
        </w:rPr>
        <w:t>Figure 6. Folds. The final model trains on all of Jan–Oct.</w:t>
      </w:r>
    </w:p>
    <w:p>
      <w:r>
        <w:t>Model selection used raw MAE averaged over F1–F3, with h2 MAE as the tie-break. Raw labels include corruption, as Spotter's labels presumably do. MAE is robust to it. RMSE is not: every model lands between $623.1 and $639.7, because the corrupted rows dominate the squared error. Clean-label MAPE (corrupted rows removed, for reporting only) shows the accuracy on legitimate prices.</w:t>
      </w:r>
    </w:p>
    <w:tbl>
      <w:tblPr>
        <w:tblStyle w:val="TableGrid"/>
        <w:tblW w:type="auto" w:w="0"/>
        <w:jc w:val="center"/>
        <w:tblLook w:firstColumn="1" w:firstRow="1" w:lastColumn="0" w:lastRow="0" w:noHBand="0" w:noVBand="1" w:val="04A0"/>
      </w:tblPr>
      <w:tblGrid>
        <w:gridCol w:w="3264"/>
        <w:gridCol w:w="3264"/>
        <w:gridCol w:w="3264"/>
      </w:tblGrid>
      <w:tr>
        <w:tc>
          <w:tcPr>
            <w:tcW w:type="dxa" w:w="4896"/>
            <w:shd w:val="clear" w:color="auto" w:fill="E8EEF6"/>
          </w:tcPr>
          <w:p>
            <w:pPr>
              <w:spacing w:before="20" w:after="20"/>
            </w:pPr>
            <w:r/>
            <w:r>
              <w:rPr>
                <w:b/>
                <w:sz w:val="17"/>
              </w:rPr>
              <w:t>Split (MAE)</w:t>
            </w:r>
          </w:p>
        </w:tc>
        <w:tc>
          <w:tcPr>
            <w:tcW w:type="dxa" w:w="1728"/>
            <w:shd w:val="clear" w:color="auto" w:fill="E8EEF6"/>
          </w:tcPr>
          <w:p>
            <w:pPr>
              <w:spacing w:before="20" w:after="20"/>
              <w:jc w:val="right"/>
            </w:pPr>
            <w:r/>
            <w:r>
              <w:rPr>
                <w:b/>
                <w:sz w:val="17"/>
              </w:rPr>
              <w:t>Hybrid</w:t>
            </w:r>
          </w:p>
        </w:tc>
        <w:tc>
          <w:tcPr>
            <w:tcW w:type="dxa" w:w="2016"/>
            <w:shd w:val="clear" w:color="auto" w:fill="E8EEF6"/>
          </w:tcPr>
          <w:p>
            <w:pPr>
              <w:spacing w:before="20" w:after="20"/>
              <w:jc w:val="right"/>
            </w:pPr>
            <w:r/>
            <w:r>
              <w:rPr>
                <w:b/>
                <w:sz w:val="17"/>
              </w:rPr>
              <w:t>Codex LightGBM</w:t>
            </w:r>
          </w:p>
        </w:tc>
      </w:tr>
      <w:tr>
        <w:tc>
          <w:tcPr>
            <w:tcW w:type="dxa" w:w="4896"/>
          </w:tcPr>
          <w:p>
            <w:pPr>
              <w:spacing w:before="20" w:after="20"/>
            </w:pPr>
            <w:r/>
            <w:r>
              <w:rPr>
                <w:sz w:val="17"/>
              </w:rPr>
              <w:t>Random 10% holdout (all months)</w:t>
            </w:r>
          </w:p>
        </w:tc>
        <w:tc>
          <w:tcPr>
            <w:tcW w:type="dxa" w:w="1728"/>
          </w:tcPr>
          <w:p>
            <w:pPr>
              <w:spacing w:before="20" w:after="20"/>
              <w:jc w:val="right"/>
            </w:pPr>
            <w:r/>
            <w:r>
              <w:rPr>
                <w:sz w:val="17"/>
              </w:rPr>
              <w:t>$91.5</w:t>
            </w:r>
          </w:p>
        </w:tc>
        <w:tc>
          <w:tcPr>
            <w:tcW w:type="dxa" w:w="2016"/>
          </w:tcPr>
          <w:p>
            <w:pPr>
              <w:spacing w:before="20" w:after="20"/>
              <w:jc w:val="right"/>
            </w:pPr>
            <w:r/>
            <w:r>
              <w:rPr>
                <w:sz w:val="17"/>
              </w:rPr>
              <w:t>$95.3</w:t>
            </w:r>
          </w:p>
        </w:tc>
      </w:tr>
      <w:tr>
        <w:tc>
          <w:tcPr>
            <w:tcW w:type="dxa" w:w="4896"/>
          </w:tcPr>
          <w:p>
            <w:pPr>
              <w:spacing w:before="20" w:after="20"/>
            </w:pPr>
            <w:r/>
            <w:r>
              <w:rPr>
                <w:sz w:val="17"/>
              </w:rPr>
              <w:t>Forward: train Jan–Sep, test Oct</w:t>
            </w:r>
          </w:p>
        </w:tc>
        <w:tc>
          <w:tcPr>
            <w:tcW w:type="dxa" w:w="1728"/>
          </w:tcPr>
          <w:p>
            <w:pPr>
              <w:spacing w:before="20" w:after="20"/>
              <w:jc w:val="right"/>
            </w:pPr>
            <w:r/>
            <w:r>
              <w:rPr>
                <w:sz w:val="17"/>
              </w:rPr>
              <w:t>$95.4</w:t>
            </w:r>
          </w:p>
        </w:tc>
        <w:tc>
          <w:tcPr>
            <w:tcW w:type="dxa" w:w="2016"/>
          </w:tcPr>
          <w:p>
            <w:pPr>
              <w:spacing w:before="20" w:after="20"/>
              <w:jc w:val="right"/>
            </w:pPr>
            <w:r/>
            <w:r>
              <w:rPr>
                <w:sz w:val="17"/>
              </w:rPr>
              <w:t>$110.6</w:t>
            </w:r>
          </w:p>
        </w:tc>
      </w:tr>
      <w:tr>
        <w:tc>
          <w:tcPr>
            <w:tcW w:type="dxa" w:w="4896"/>
          </w:tcPr>
          <w:p>
            <w:pPr>
              <w:spacing w:before="20" w:after="20"/>
            </w:pPr>
            <w:r/>
            <w:r>
              <w:rPr>
                <w:sz w:val="17"/>
              </w:rPr>
              <w:t>Unseen cities: 8 withheld, test Sep–Oct</w:t>
            </w:r>
          </w:p>
        </w:tc>
        <w:tc>
          <w:tcPr>
            <w:tcW w:type="dxa" w:w="1728"/>
          </w:tcPr>
          <w:p>
            <w:pPr>
              <w:spacing w:before="20" w:after="20"/>
              <w:jc w:val="right"/>
            </w:pPr>
            <w:r/>
            <w:r>
              <w:rPr>
                <w:sz w:val="17"/>
              </w:rPr>
              <w:t>$88.2</w:t>
            </w:r>
          </w:p>
        </w:tc>
        <w:tc>
          <w:tcPr>
            <w:tcW w:type="dxa" w:w="2016"/>
          </w:tcPr>
          <w:p>
            <w:pPr>
              <w:spacing w:before="20" w:after="20"/>
              <w:jc w:val="right"/>
            </w:pPr>
            <w:r/>
            <w:r>
              <w:rPr>
                <w:sz w:val="17"/>
              </w:rPr>
              <w:t>$110.6</w:t>
            </w:r>
          </w:p>
        </w:tc>
      </w:tr>
    </w:tbl>
    <w:p>
      <w:pPr>
        <w:spacing w:after="40"/>
      </w:pPr>
    </w:p>
    <w:p>
      <w:r>
        <w:t>A random split makes the two models look about equal ($91.5 vs $95.3). Going forward in time, the tree model loses ground ($95.4 vs $110.6). A random split would therefore have picked the wrong model. The unseen-city simulation withholds 8 training cities from training and tests on the Sep–Oct loads that touch them. The hybrid holds up ($88.2); the tree model, which relies on city identities, does not ($110.6).</w:t>
      </w:r>
    </w:p>
    <w:p>
      <w:pPr>
        <w:pStyle w:val="Heading1"/>
      </w:pPr>
      <w:r>
        <w:t>5. Model</w:t>
      </w:r>
    </w:p>
    <w:p>
      <w:r>
        <w:t>Stage 1 is ordinary least squares on log(posted_rate), fitted on the cleaned rows. Its inputs are log distance, log weight with a hinge term for loads under 12,000 lb, a missing-weight flag, log market_index, equipment dummies, a quadratic surface in pickup and delivery coordinates, a linear trend in months, and a quarter-end ramp per equipment (0 on the first day of March, June, September or December, rising to 1 on its last day; 0 otherwise). Stage 2 is LightGBM on the stage-1 residuals. It uses distance, weight, market_index, equipment, coordinates, weekday and position within the month, plus pickup and delivery city as categorical features. It has no trend input, so it cannot undo the trend. Rows that touch a city absent from training use a second stage-2 model without the city features. Prediction = exp(stage 1 + stage 2).</w:t>
      </w:r>
    </w:p>
    <w:p>
      <w:r>
        <w:t>Why not boosted trees alone: a tree predicts a constant beyond the last date it saw, so it cannot carry the drift or a quarter-end ramp into the future. In the h2 backtest its error moves downward through the September ramp (Figure 7), and it never learns that December will ramp. The linear stage carries time forward; the trees handle the non-linear parts that do not depend on the date.</w:t>
      </w:r>
    </w:p>
    <w:p>
      <w:pPr>
        <w:jc w:val="center"/>
      </w:pPr>
      <w:r>
        <w:drawing>
          <wp:inline xmlns:a="http://schemas.openxmlformats.org/drawingml/2006/main" xmlns:pic="http://schemas.openxmlformats.org/drawingml/2006/picture">
            <wp:extent cx="5760720" cy="2798840"/>
            <wp:docPr id="7" name="Picture 7"/>
            <wp:cNvGraphicFramePr>
              <a:graphicFrameLocks noChangeAspect="1"/>
            </wp:cNvGraphicFramePr>
            <a:graphic>
              <a:graphicData uri="http://schemas.openxmlformats.org/drawingml/2006/picture">
                <pic:pic>
                  <pic:nvPicPr>
                    <pic:cNvPr id="0" name="backtest_bias.png"/>
                    <pic:cNvPicPr/>
                  </pic:nvPicPr>
                  <pic:blipFill>
                    <a:blip r:embed="rId15"/>
                    <a:stretch>
                      <a:fillRect/>
                    </a:stretch>
                  </pic:blipFill>
                  <pic:spPr>
                    <a:xfrm>
                      <a:off x="0" y="0"/>
                      <a:ext cx="5760720" cy="2798840"/>
                    </a:xfrm>
                    <a:prstGeom prst="rect"/>
                  </pic:spPr>
                </pic:pic>
              </a:graphicData>
            </a:graphic>
          </wp:inline>
        </w:drawing>
      </w:r>
    </w:p>
    <w:p>
      <w:pPr>
        <w:jc w:val="center"/>
      </w:pPr>
      <w:r>
        <w:rPr>
          <w:i/>
          <w:color w:val="52514E"/>
          <w:sz w:val="17"/>
        </w:rPr>
        <w:t>Figure 7. h2 backtest: daily mean signed error on clean labels (labels show the last-5-day mean).</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3528"/>
            <w:shd w:val="clear" w:color="auto" w:fill="E8EEF6"/>
          </w:tcPr>
          <w:p>
            <w:pPr>
              <w:spacing w:before="20" w:after="20"/>
            </w:pPr>
            <w:r/>
            <w:r>
              <w:rPr>
                <w:b/>
                <w:sz w:val="16"/>
              </w:rPr>
              <w:t>Model</w:t>
            </w:r>
          </w:p>
        </w:tc>
        <w:tc>
          <w:tcPr>
            <w:tcW w:type="dxa" w:w="893"/>
            <w:shd w:val="clear" w:color="auto" w:fill="E8EEF6"/>
          </w:tcPr>
          <w:p>
            <w:pPr>
              <w:spacing w:before="20" w:after="20"/>
              <w:jc w:val="right"/>
            </w:pPr>
            <w:r/>
            <w:r>
              <w:rPr>
                <w:b/>
                <w:sz w:val="16"/>
              </w:rPr>
              <w:t>Aug</w:t>
            </w:r>
          </w:p>
        </w:tc>
        <w:tc>
          <w:tcPr>
            <w:tcW w:type="dxa" w:w="893"/>
            <w:shd w:val="clear" w:color="auto" w:fill="E8EEF6"/>
          </w:tcPr>
          <w:p>
            <w:pPr>
              <w:spacing w:before="20" w:after="20"/>
              <w:jc w:val="right"/>
            </w:pPr>
            <w:r/>
            <w:r>
              <w:rPr>
                <w:b/>
                <w:sz w:val="16"/>
              </w:rPr>
              <w:t>Sep</w:t>
            </w:r>
          </w:p>
        </w:tc>
        <w:tc>
          <w:tcPr>
            <w:tcW w:type="dxa" w:w="893"/>
            <w:shd w:val="clear" w:color="auto" w:fill="E8EEF6"/>
          </w:tcPr>
          <w:p>
            <w:pPr>
              <w:spacing w:before="20" w:after="20"/>
              <w:jc w:val="right"/>
            </w:pPr>
            <w:r/>
            <w:r>
              <w:rPr>
                <w:b/>
                <w:sz w:val="16"/>
              </w:rPr>
              <w:t>Oct</w:t>
            </w:r>
          </w:p>
        </w:tc>
        <w:tc>
          <w:tcPr>
            <w:tcW w:type="dxa" w:w="893"/>
            <w:shd w:val="clear" w:color="auto" w:fill="E8EEF6"/>
          </w:tcPr>
          <w:p>
            <w:pPr>
              <w:spacing w:before="20" w:after="20"/>
              <w:jc w:val="right"/>
            </w:pPr>
            <w:r/>
            <w:r>
              <w:rPr>
                <w:b/>
                <w:sz w:val="16"/>
              </w:rPr>
              <w:t>h2</w:t>
            </w:r>
          </w:p>
        </w:tc>
        <w:tc>
          <w:tcPr>
            <w:tcW w:type="dxa" w:w="1224"/>
            <w:shd w:val="clear" w:color="auto" w:fill="E8EEF6"/>
          </w:tcPr>
          <w:p>
            <w:pPr>
              <w:spacing w:before="20" w:after="20"/>
              <w:jc w:val="right"/>
            </w:pPr>
            <w:r/>
            <w:r>
              <w:rPr>
                <w:b/>
                <w:sz w:val="16"/>
              </w:rPr>
              <w:t>Fold avg MAE</w:t>
            </w:r>
          </w:p>
        </w:tc>
        <w:tc>
          <w:tcPr>
            <w:tcW w:type="dxa" w:w="864"/>
            <w:shd w:val="clear" w:color="auto" w:fill="E8EEF6"/>
          </w:tcPr>
          <w:p>
            <w:pPr>
              <w:spacing w:before="20" w:after="20"/>
              <w:jc w:val="right"/>
            </w:pPr>
            <w:r/>
            <w:r>
              <w:rPr>
                <w:b/>
                <w:sz w:val="16"/>
              </w:rPr>
              <w:t>MAPE</w:t>
            </w:r>
          </w:p>
        </w:tc>
        <w:tc>
          <w:tcPr>
            <w:tcW w:type="dxa" w:w="1037"/>
            <w:shd w:val="clear" w:color="auto" w:fill="E8EEF6"/>
          </w:tcPr>
          <w:p>
            <w:pPr>
              <w:spacing w:before="20" w:after="20"/>
              <w:jc w:val="right"/>
            </w:pPr>
            <w:r/>
            <w:r>
              <w:rPr>
                <w:b/>
                <w:sz w:val="16"/>
              </w:rPr>
              <w:t>Clean MAPE</w:t>
            </w:r>
          </w:p>
        </w:tc>
      </w:tr>
      <w:tr>
        <w:tc>
          <w:tcPr>
            <w:tcW w:type="dxa" w:w="3528"/>
            <w:shd w:val="clear" w:color="auto" w:fill="F3F7FC"/>
          </w:tcPr>
          <w:p>
            <w:pPr>
              <w:spacing w:before="20" w:after="20"/>
            </w:pPr>
            <w:r/>
            <w:r>
              <w:rPr>
                <w:b/>
                <w:sz w:val="16"/>
              </w:rPr>
              <w:t>Hybrid (chosen)</w:t>
            </w:r>
          </w:p>
        </w:tc>
        <w:tc>
          <w:tcPr>
            <w:tcW w:type="dxa" w:w="893"/>
            <w:shd w:val="clear" w:color="auto" w:fill="F3F7FC"/>
          </w:tcPr>
          <w:p>
            <w:pPr>
              <w:spacing w:before="20" w:after="20"/>
              <w:jc w:val="right"/>
            </w:pPr>
            <w:r/>
            <w:r>
              <w:rPr>
                <w:b/>
                <w:sz w:val="16"/>
              </w:rPr>
              <w:t>$79.9</w:t>
            </w:r>
          </w:p>
        </w:tc>
        <w:tc>
          <w:tcPr>
            <w:tcW w:type="dxa" w:w="893"/>
            <w:shd w:val="clear" w:color="auto" w:fill="F3F7FC"/>
          </w:tcPr>
          <w:p>
            <w:pPr>
              <w:spacing w:before="20" w:after="20"/>
              <w:jc w:val="right"/>
            </w:pPr>
            <w:r/>
            <w:r>
              <w:rPr>
                <w:b/>
                <w:sz w:val="16"/>
              </w:rPr>
              <w:t>$80.4</w:t>
            </w:r>
          </w:p>
        </w:tc>
        <w:tc>
          <w:tcPr>
            <w:tcW w:type="dxa" w:w="893"/>
            <w:shd w:val="clear" w:color="auto" w:fill="F3F7FC"/>
          </w:tcPr>
          <w:p>
            <w:pPr>
              <w:spacing w:before="20" w:after="20"/>
              <w:jc w:val="right"/>
            </w:pPr>
            <w:r/>
            <w:r>
              <w:rPr>
                <w:b/>
                <w:sz w:val="16"/>
              </w:rPr>
              <w:t>$95.4</w:t>
            </w:r>
          </w:p>
        </w:tc>
        <w:tc>
          <w:tcPr>
            <w:tcW w:type="dxa" w:w="893"/>
            <w:shd w:val="clear" w:color="auto" w:fill="F3F7FC"/>
          </w:tcPr>
          <w:p>
            <w:pPr>
              <w:spacing w:before="20" w:after="20"/>
              <w:jc w:val="right"/>
            </w:pPr>
            <w:r/>
            <w:r>
              <w:rPr>
                <w:b/>
                <w:sz w:val="16"/>
              </w:rPr>
              <w:t>$88.5</w:t>
            </w:r>
          </w:p>
        </w:tc>
        <w:tc>
          <w:tcPr>
            <w:tcW w:type="dxa" w:w="1224"/>
            <w:shd w:val="clear" w:color="auto" w:fill="F3F7FC"/>
          </w:tcPr>
          <w:p>
            <w:pPr>
              <w:spacing w:before="20" w:after="20"/>
              <w:jc w:val="right"/>
            </w:pPr>
            <w:r/>
            <w:r>
              <w:rPr>
                <w:b/>
                <w:sz w:val="16"/>
              </w:rPr>
              <w:t>$85.2</w:t>
            </w:r>
          </w:p>
        </w:tc>
        <w:tc>
          <w:tcPr>
            <w:tcW w:type="dxa" w:w="864"/>
            <w:shd w:val="clear" w:color="auto" w:fill="F3F7FC"/>
          </w:tcPr>
          <w:p>
            <w:pPr>
              <w:spacing w:before="20" w:after="20"/>
              <w:jc w:val="right"/>
            </w:pPr>
            <w:r/>
            <w:r>
              <w:rPr>
                <w:b/>
                <w:sz w:val="16"/>
              </w:rPr>
              <w:t>3.83%</w:t>
            </w:r>
          </w:p>
        </w:tc>
        <w:tc>
          <w:tcPr>
            <w:tcW w:type="dxa" w:w="1037"/>
            <w:shd w:val="clear" w:color="auto" w:fill="F3F7FC"/>
          </w:tcPr>
          <w:p>
            <w:pPr>
              <w:spacing w:before="20" w:after="20"/>
              <w:jc w:val="right"/>
            </w:pPr>
            <w:r/>
            <w:r>
              <w:rPr>
                <w:b/>
                <w:sz w:val="16"/>
              </w:rPr>
              <w:t>1.33%</w:t>
            </w:r>
          </w:p>
        </w:tc>
      </w:tr>
      <w:tr>
        <w:tc>
          <w:tcPr>
            <w:tcW w:type="dxa" w:w="3528"/>
          </w:tcPr>
          <w:p>
            <w:pPr>
              <w:spacing w:before="20" w:after="20"/>
            </w:pPr>
            <w:r/>
            <w:r>
              <w:rPr>
                <w:sz w:val="16"/>
              </w:rPr>
              <w:t>Hybrid, no city categoricals</w:t>
            </w:r>
          </w:p>
        </w:tc>
        <w:tc>
          <w:tcPr>
            <w:tcW w:type="dxa" w:w="893"/>
          </w:tcPr>
          <w:p>
            <w:pPr>
              <w:spacing w:before="20" w:after="20"/>
              <w:jc w:val="right"/>
            </w:pPr>
            <w:r/>
            <w:r>
              <w:rPr>
                <w:sz w:val="16"/>
              </w:rPr>
              <w:t>$81.4</w:t>
            </w:r>
          </w:p>
        </w:tc>
        <w:tc>
          <w:tcPr>
            <w:tcW w:type="dxa" w:w="893"/>
          </w:tcPr>
          <w:p>
            <w:pPr>
              <w:spacing w:before="20" w:after="20"/>
              <w:jc w:val="right"/>
            </w:pPr>
            <w:r/>
            <w:r>
              <w:rPr>
                <w:sz w:val="16"/>
              </w:rPr>
              <w:t>$81.9</w:t>
            </w:r>
          </w:p>
        </w:tc>
        <w:tc>
          <w:tcPr>
            <w:tcW w:type="dxa" w:w="893"/>
          </w:tcPr>
          <w:p>
            <w:pPr>
              <w:spacing w:before="20" w:after="20"/>
              <w:jc w:val="right"/>
            </w:pPr>
            <w:r/>
            <w:r>
              <w:rPr>
                <w:sz w:val="16"/>
              </w:rPr>
              <w:t>$96.6</w:t>
            </w:r>
          </w:p>
        </w:tc>
        <w:tc>
          <w:tcPr>
            <w:tcW w:type="dxa" w:w="893"/>
          </w:tcPr>
          <w:p>
            <w:pPr>
              <w:spacing w:before="20" w:after="20"/>
              <w:jc w:val="right"/>
            </w:pPr>
            <w:r/>
            <w:r>
              <w:rPr>
                <w:sz w:val="16"/>
              </w:rPr>
              <w:t>$89.9</w:t>
            </w:r>
          </w:p>
        </w:tc>
        <w:tc>
          <w:tcPr>
            <w:tcW w:type="dxa" w:w="1224"/>
          </w:tcPr>
          <w:p>
            <w:pPr>
              <w:spacing w:before="20" w:after="20"/>
              <w:jc w:val="right"/>
            </w:pPr>
            <w:r/>
            <w:r>
              <w:rPr>
                <w:sz w:val="16"/>
              </w:rPr>
              <w:t>$86.6</w:t>
            </w:r>
          </w:p>
        </w:tc>
        <w:tc>
          <w:tcPr>
            <w:tcW w:type="dxa" w:w="864"/>
          </w:tcPr>
          <w:p>
            <w:pPr>
              <w:spacing w:before="20" w:after="20"/>
              <w:jc w:val="right"/>
            </w:pPr>
            <w:r/>
            <w:r>
              <w:rPr>
                <w:sz w:val="16"/>
              </w:rPr>
              <w:t>3.89%</w:t>
            </w:r>
          </w:p>
        </w:tc>
        <w:tc>
          <w:tcPr>
            <w:tcW w:type="dxa" w:w="1037"/>
          </w:tcPr>
          <w:p>
            <w:pPr>
              <w:spacing w:before="20" w:after="20"/>
              <w:jc w:val="right"/>
            </w:pPr>
            <w:r/>
            <w:r>
              <w:rPr>
                <w:sz w:val="16"/>
              </w:rPr>
              <w:t>1.39%</w:t>
            </w:r>
          </w:p>
        </w:tc>
      </w:tr>
      <w:tr>
        <w:tc>
          <w:tcPr>
            <w:tcW w:type="dxa" w:w="3528"/>
          </w:tcPr>
          <w:p>
            <w:pPr>
              <w:spacing w:before="20" w:after="20"/>
            </w:pPr>
            <w:r/>
            <w:r>
              <w:rPr>
                <w:sz w:val="16"/>
              </w:rPr>
              <w:t>Hybrid + quote_signal</w:t>
            </w:r>
          </w:p>
        </w:tc>
        <w:tc>
          <w:tcPr>
            <w:tcW w:type="dxa" w:w="893"/>
          </w:tcPr>
          <w:p>
            <w:pPr>
              <w:spacing w:before="20" w:after="20"/>
              <w:jc w:val="right"/>
            </w:pPr>
            <w:r/>
            <w:r>
              <w:rPr>
                <w:sz w:val="16"/>
              </w:rPr>
              <w:t>$85.4</w:t>
            </w:r>
          </w:p>
        </w:tc>
        <w:tc>
          <w:tcPr>
            <w:tcW w:type="dxa" w:w="893"/>
          </w:tcPr>
          <w:p>
            <w:pPr>
              <w:spacing w:before="20" w:after="20"/>
              <w:jc w:val="right"/>
            </w:pPr>
            <w:r/>
            <w:r>
              <w:rPr>
                <w:sz w:val="16"/>
              </w:rPr>
              <w:t>$79.9</w:t>
            </w:r>
          </w:p>
        </w:tc>
        <w:tc>
          <w:tcPr>
            <w:tcW w:type="dxa" w:w="893"/>
          </w:tcPr>
          <w:p>
            <w:pPr>
              <w:spacing w:before="20" w:after="20"/>
              <w:jc w:val="right"/>
            </w:pPr>
            <w:r/>
            <w:r>
              <w:rPr>
                <w:sz w:val="16"/>
              </w:rPr>
              <w:t>$94.9</w:t>
            </w:r>
          </w:p>
        </w:tc>
        <w:tc>
          <w:tcPr>
            <w:tcW w:type="dxa" w:w="893"/>
          </w:tcPr>
          <w:p>
            <w:pPr>
              <w:spacing w:before="20" w:after="20"/>
              <w:jc w:val="right"/>
            </w:pPr>
            <w:r/>
            <w:r>
              <w:rPr>
                <w:sz w:val="16"/>
              </w:rPr>
              <w:t>$87.9</w:t>
            </w:r>
          </w:p>
        </w:tc>
        <w:tc>
          <w:tcPr>
            <w:tcW w:type="dxa" w:w="1224"/>
          </w:tcPr>
          <w:p>
            <w:pPr>
              <w:spacing w:before="20" w:after="20"/>
              <w:jc w:val="right"/>
            </w:pPr>
            <w:r/>
            <w:r>
              <w:rPr>
                <w:sz w:val="16"/>
              </w:rPr>
              <w:t>$86.7</w:t>
            </w:r>
          </w:p>
        </w:tc>
        <w:tc>
          <w:tcPr>
            <w:tcW w:type="dxa" w:w="864"/>
          </w:tcPr>
          <w:p>
            <w:pPr>
              <w:spacing w:before="20" w:after="20"/>
              <w:jc w:val="right"/>
            </w:pPr>
            <w:r/>
            <w:r>
              <w:rPr>
                <w:sz w:val="16"/>
              </w:rPr>
              <w:t>3.90%</w:t>
            </w:r>
          </w:p>
        </w:tc>
        <w:tc>
          <w:tcPr>
            <w:tcW w:type="dxa" w:w="1037"/>
          </w:tcPr>
          <w:p>
            <w:pPr>
              <w:spacing w:before="20" w:after="20"/>
              <w:jc w:val="right"/>
            </w:pPr>
            <w:r/>
            <w:r>
              <w:rPr>
                <w:sz w:val="16"/>
              </w:rPr>
              <w:t>1.40%</w:t>
            </w:r>
          </w:p>
        </w:tc>
      </w:tr>
      <w:tr>
        <w:tc>
          <w:tcPr>
            <w:tcW w:type="dxa" w:w="3528"/>
          </w:tcPr>
          <w:p>
            <w:pPr>
              <w:spacing w:before="20" w:after="20"/>
            </w:pPr>
            <w:r/>
            <w:r>
              <w:rPr>
                <w:sz w:val="16"/>
              </w:rPr>
              <w:t>Hybrid, untuned defaults</w:t>
            </w:r>
          </w:p>
        </w:tc>
        <w:tc>
          <w:tcPr>
            <w:tcW w:type="dxa" w:w="893"/>
          </w:tcPr>
          <w:p>
            <w:pPr>
              <w:spacing w:before="20" w:after="20"/>
              <w:jc w:val="right"/>
            </w:pPr>
            <w:r/>
            <w:r>
              <w:rPr>
                <w:sz w:val="16"/>
              </w:rPr>
              <w:t>$81.9</w:t>
            </w:r>
          </w:p>
        </w:tc>
        <w:tc>
          <w:tcPr>
            <w:tcW w:type="dxa" w:w="893"/>
          </w:tcPr>
          <w:p>
            <w:pPr>
              <w:spacing w:before="20" w:after="20"/>
              <w:jc w:val="right"/>
            </w:pPr>
            <w:r/>
            <w:r>
              <w:rPr>
                <w:sz w:val="16"/>
              </w:rPr>
              <w:t>$82.4</w:t>
            </w:r>
          </w:p>
        </w:tc>
        <w:tc>
          <w:tcPr>
            <w:tcW w:type="dxa" w:w="893"/>
          </w:tcPr>
          <w:p>
            <w:pPr>
              <w:spacing w:before="20" w:after="20"/>
              <w:jc w:val="right"/>
            </w:pPr>
            <w:r/>
            <w:r>
              <w:rPr>
                <w:sz w:val="16"/>
              </w:rPr>
              <w:t>$97.1</w:t>
            </w:r>
          </w:p>
        </w:tc>
        <w:tc>
          <w:tcPr>
            <w:tcW w:type="dxa" w:w="893"/>
          </w:tcPr>
          <w:p>
            <w:pPr>
              <w:spacing w:before="20" w:after="20"/>
              <w:jc w:val="right"/>
            </w:pPr>
            <w:r/>
            <w:r>
              <w:rPr>
                <w:sz w:val="16"/>
              </w:rPr>
              <w:t>$90.3</w:t>
            </w:r>
          </w:p>
        </w:tc>
        <w:tc>
          <w:tcPr>
            <w:tcW w:type="dxa" w:w="1224"/>
          </w:tcPr>
          <w:p>
            <w:pPr>
              <w:spacing w:before="20" w:after="20"/>
              <w:jc w:val="right"/>
            </w:pPr>
            <w:r/>
            <w:r>
              <w:rPr>
                <w:sz w:val="16"/>
              </w:rPr>
              <w:t>$87.1</w:t>
            </w:r>
          </w:p>
        </w:tc>
        <w:tc>
          <w:tcPr>
            <w:tcW w:type="dxa" w:w="864"/>
          </w:tcPr>
          <w:p>
            <w:pPr>
              <w:spacing w:before="20" w:after="20"/>
              <w:jc w:val="right"/>
            </w:pPr>
            <w:r/>
            <w:r>
              <w:rPr>
                <w:sz w:val="16"/>
              </w:rPr>
              <w:t>3.91%</w:t>
            </w:r>
          </w:p>
        </w:tc>
        <w:tc>
          <w:tcPr>
            <w:tcW w:type="dxa" w:w="1037"/>
          </w:tcPr>
          <w:p>
            <w:pPr>
              <w:spacing w:before="20" w:after="20"/>
              <w:jc w:val="right"/>
            </w:pPr>
            <w:r/>
            <w:r>
              <w:rPr>
                <w:sz w:val="16"/>
              </w:rPr>
              <w:t>1.42%</w:t>
            </w:r>
          </w:p>
        </w:tc>
      </w:tr>
      <w:tr>
        <w:tc>
          <w:tcPr>
            <w:tcW w:type="dxa" w:w="3528"/>
          </w:tcPr>
          <w:p>
            <w:pPr>
              <w:spacing w:before="20" w:after="20"/>
            </w:pPr>
            <w:r/>
            <w:r>
              <w:rPr>
                <w:sz w:val="16"/>
              </w:rPr>
              <w:t>Hybrid 50/50 with Codex XGB</w:t>
            </w:r>
          </w:p>
        </w:tc>
        <w:tc>
          <w:tcPr>
            <w:tcW w:type="dxa" w:w="893"/>
          </w:tcPr>
          <w:p>
            <w:pPr>
              <w:spacing w:before="20" w:after="20"/>
              <w:jc w:val="right"/>
            </w:pPr>
            <w:r/>
            <w:r>
              <w:rPr>
                <w:sz w:val="16"/>
              </w:rPr>
              <w:t>$94.2</w:t>
            </w:r>
          </w:p>
        </w:tc>
        <w:tc>
          <w:tcPr>
            <w:tcW w:type="dxa" w:w="893"/>
          </w:tcPr>
          <w:p>
            <w:pPr>
              <w:spacing w:before="20" w:after="20"/>
              <w:jc w:val="right"/>
            </w:pPr>
            <w:r/>
            <w:r>
              <w:rPr>
                <w:sz w:val="16"/>
              </w:rPr>
              <w:t>$92.2</w:t>
            </w:r>
          </w:p>
        </w:tc>
        <w:tc>
          <w:tcPr>
            <w:tcW w:type="dxa" w:w="893"/>
          </w:tcPr>
          <w:p>
            <w:pPr>
              <w:spacing w:before="20" w:after="20"/>
              <w:jc w:val="right"/>
            </w:pPr>
            <w:r/>
            <w:r>
              <w:rPr>
                <w:sz w:val="16"/>
              </w:rPr>
              <w:t>$97.3</w:t>
            </w:r>
          </w:p>
        </w:tc>
        <w:tc>
          <w:tcPr>
            <w:tcW w:type="dxa" w:w="893"/>
          </w:tcPr>
          <w:p>
            <w:pPr>
              <w:spacing w:before="20" w:after="20"/>
              <w:jc w:val="right"/>
            </w:pPr>
            <w:r/>
            <w:r>
              <w:rPr>
                <w:sz w:val="16"/>
              </w:rPr>
              <w:t>$100.4</w:t>
            </w:r>
          </w:p>
        </w:tc>
        <w:tc>
          <w:tcPr>
            <w:tcW w:type="dxa" w:w="1224"/>
          </w:tcPr>
          <w:p>
            <w:pPr>
              <w:spacing w:before="20" w:after="20"/>
              <w:jc w:val="right"/>
            </w:pPr>
            <w:r/>
            <w:r>
              <w:rPr>
                <w:sz w:val="16"/>
              </w:rPr>
              <w:t>$94.6</w:t>
            </w:r>
          </w:p>
        </w:tc>
        <w:tc>
          <w:tcPr>
            <w:tcW w:type="dxa" w:w="864"/>
          </w:tcPr>
          <w:p>
            <w:pPr>
              <w:spacing w:before="20" w:after="20"/>
              <w:jc w:val="right"/>
            </w:pPr>
            <w:r/>
            <w:r>
              <w:rPr>
                <w:sz w:val="16"/>
              </w:rPr>
              <w:t>4.27%</w:t>
            </w:r>
          </w:p>
        </w:tc>
        <w:tc>
          <w:tcPr>
            <w:tcW w:type="dxa" w:w="1037"/>
          </w:tcPr>
          <w:p>
            <w:pPr>
              <w:spacing w:before="20" w:after="20"/>
              <w:jc w:val="right"/>
            </w:pPr>
            <w:r/>
            <w:r>
              <w:rPr>
                <w:sz w:val="16"/>
              </w:rPr>
              <w:t>1.78%</w:t>
            </w:r>
          </w:p>
        </w:tc>
      </w:tr>
      <w:tr>
        <w:tc>
          <w:tcPr>
            <w:tcW w:type="dxa" w:w="3528"/>
          </w:tcPr>
          <w:p>
            <w:pPr>
              <w:spacing w:before="20" w:after="20"/>
            </w:pPr>
            <w:r/>
            <w:r>
              <w:rPr>
                <w:sz w:val="16"/>
              </w:rPr>
              <w:t>Hybrid without quarter-end ramp</w:t>
            </w:r>
          </w:p>
        </w:tc>
        <w:tc>
          <w:tcPr>
            <w:tcW w:type="dxa" w:w="893"/>
          </w:tcPr>
          <w:p>
            <w:pPr>
              <w:spacing w:before="20" w:after="20"/>
              <w:jc w:val="right"/>
            </w:pPr>
            <w:r/>
            <w:r>
              <w:rPr>
                <w:sz w:val="16"/>
              </w:rPr>
              <w:t>$94.4</w:t>
            </w:r>
          </w:p>
        </w:tc>
        <w:tc>
          <w:tcPr>
            <w:tcW w:type="dxa" w:w="893"/>
          </w:tcPr>
          <w:p>
            <w:pPr>
              <w:spacing w:before="20" w:after="20"/>
              <w:jc w:val="right"/>
            </w:pPr>
            <w:r/>
            <w:r>
              <w:rPr>
                <w:sz w:val="16"/>
              </w:rPr>
              <w:t>$107.3</w:t>
            </w:r>
          </w:p>
        </w:tc>
        <w:tc>
          <w:tcPr>
            <w:tcW w:type="dxa" w:w="893"/>
          </w:tcPr>
          <w:p>
            <w:pPr>
              <w:spacing w:before="20" w:after="20"/>
              <w:jc w:val="right"/>
            </w:pPr>
            <w:r/>
            <w:r>
              <w:rPr>
                <w:sz w:val="16"/>
              </w:rPr>
              <w:t>$90.5</w:t>
            </w:r>
          </w:p>
        </w:tc>
        <w:tc>
          <w:tcPr>
            <w:tcW w:type="dxa" w:w="893"/>
          </w:tcPr>
          <w:p>
            <w:pPr>
              <w:spacing w:before="20" w:after="20"/>
              <w:jc w:val="right"/>
            </w:pPr>
            <w:r/>
            <w:r>
              <w:rPr>
                <w:sz w:val="16"/>
              </w:rPr>
              <w:t>$102.5</w:t>
            </w:r>
          </w:p>
        </w:tc>
        <w:tc>
          <w:tcPr>
            <w:tcW w:type="dxa" w:w="1224"/>
          </w:tcPr>
          <w:p>
            <w:pPr>
              <w:spacing w:before="20" w:after="20"/>
              <w:jc w:val="right"/>
            </w:pPr>
            <w:r/>
            <w:r>
              <w:rPr>
                <w:sz w:val="16"/>
              </w:rPr>
              <w:t>$97.4</w:t>
            </w:r>
          </w:p>
        </w:tc>
        <w:tc>
          <w:tcPr>
            <w:tcW w:type="dxa" w:w="864"/>
          </w:tcPr>
          <w:p>
            <w:pPr>
              <w:spacing w:before="20" w:after="20"/>
              <w:jc w:val="right"/>
            </w:pPr>
            <w:r/>
            <w:r>
              <w:rPr>
                <w:sz w:val="16"/>
              </w:rPr>
              <w:t>4.33%</w:t>
            </w:r>
          </w:p>
        </w:tc>
        <w:tc>
          <w:tcPr>
            <w:tcW w:type="dxa" w:w="1037"/>
          </w:tcPr>
          <w:p>
            <w:pPr>
              <w:spacing w:before="20" w:after="20"/>
              <w:jc w:val="right"/>
            </w:pPr>
            <w:r/>
            <w:r>
              <w:rPr>
                <w:sz w:val="16"/>
              </w:rPr>
              <w:t>1.83%</w:t>
            </w:r>
          </w:p>
        </w:tc>
      </w:tr>
      <w:tr>
        <w:tc>
          <w:tcPr>
            <w:tcW w:type="dxa" w:w="3528"/>
          </w:tcPr>
          <w:p>
            <w:pPr>
              <w:spacing w:before="20" w:after="20"/>
            </w:pPr>
            <w:r/>
            <w:r>
              <w:rPr>
                <w:sz w:val="16"/>
              </w:rPr>
              <w:t>Structural only (stage 1)</w:t>
            </w:r>
          </w:p>
        </w:tc>
        <w:tc>
          <w:tcPr>
            <w:tcW w:type="dxa" w:w="893"/>
          </w:tcPr>
          <w:p>
            <w:pPr>
              <w:spacing w:before="20" w:after="20"/>
              <w:jc w:val="right"/>
            </w:pPr>
            <w:r/>
            <w:r>
              <w:rPr>
                <w:sz w:val="16"/>
              </w:rPr>
              <w:t>$92.8</w:t>
            </w:r>
          </w:p>
        </w:tc>
        <w:tc>
          <w:tcPr>
            <w:tcW w:type="dxa" w:w="893"/>
          </w:tcPr>
          <w:p>
            <w:pPr>
              <w:spacing w:before="20" w:after="20"/>
              <w:jc w:val="right"/>
            </w:pPr>
            <w:r/>
            <w:r>
              <w:rPr>
                <w:sz w:val="16"/>
              </w:rPr>
              <w:t>$95.1</w:t>
            </w:r>
          </w:p>
        </w:tc>
        <w:tc>
          <w:tcPr>
            <w:tcW w:type="dxa" w:w="893"/>
          </w:tcPr>
          <w:p>
            <w:pPr>
              <w:spacing w:before="20" w:after="20"/>
              <w:jc w:val="right"/>
            </w:pPr>
            <w:r/>
            <w:r>
              <w:rPr>
                <w:sz w:val="16"/>
              </w:rPr>
              <w:t>$106.2</w:t>
            </w:r>
          </w:p>
        </w:tc>
        <w:tc>
          <w:tcPr>
            <w:tcW w:type="dxa" w:w="893"/>
          </w:tcPr>
          <w:p>
            <w:pPr>
              <w:spacing w:before="20" w:after="20"/>
              <w:jc w:val="right"/>
            </w:pPr>
            <w:r/>
            <w:r>
              <w:rPr>
                <w:sz w:val="16"/>
              </w:rPr>
              <w:t>$101.3</w:t>
            </w:r>
          </w:p>
        </w:tc>
        <w:tc>
          <w:tcPr>
            <w:tcW w:type="dxa" w:w="1224"/>
          </w:tcPr>
          <w:p>
            <w:pPr>
              <w:spacing w:before="20" w:after="20"/>
              <w:jc w:val="right"/>
            </w:pPr>
            <w:r/>
            <w:r>
              <w:rPr>
                <w:sz w:val="16"/>
              </w:rPr>
              <w:t>$98.0</w:t>
            </w:r>
          </w:p>
        </w:tc>
        <w:tc>
          <w:tcPr>
            <w:tcW w:type="dxa" w:w="864"/>
          </w:tcPr>
          <w:p>
            <w:pPr>
              <w:spacing w:before="20" w:after="20"/>
              <w:jc w:val="right"/>
            </w:pPr>
            <w:r/>
            <w:r>
              <w:rPr>
                <w:sz w:val="16"/>
              </w:rPr>
              <w:t>4.42%</w:t>
            </w:r>
          </w:p>
        </w:tc>
        <w:tc>
          <w:tcPr>
            <w:tcW w:type="dxa" w:w="1037"/>
          </w:tcPr>
          <w:p>
            <w:pPr>
              <w:spacing w:before="20" w:after="20"/>
              <w:jc w:val="right"/>
            </w:pPr>
            <w:r/>
            <w:r>
              <w:rPr>
                <w:sz w:val="16"/>
              </w:rPr>
              <w:t>1.93%</w:t>
            </w:r>
          </w:p>
        </w:tc>
      </w:tr>
      <w:tr>
        <w:tc>
          <w:tcPr>
            <w:tcW w:type="dxa" w:w="3528"/>
          </w:tcPr>
          <w:p>
            <w:pPr>
              <w:spacing w:before="20" w:after="20"/>
            </w:pPr>
            <w:r/>
            <w:r>
              <w:rPr>
                <w:sz w:val="16"/>
              </w:rPr>
              <w:t>Codex LGBM-L1 without quote_signal</w:t>
            </w:r>
          </w:p>
        </w:tc>
        <w:tc>
          <w:tcPr>
            <w:tcW w:type="dxa" w:w="893"/>
          </w:tcPr>
          <w:p>
            <w:pPr>
              <w:spacing w:before="20" w:after="20"/>
              <w:jc w:val="right"/>
            </w:pPr>
            <w:r/>
            <w:r>
              <w:rPr>
                <w:sz w:val="16"/>
              </w:rPr>
              <w:t>$85.3</w:t>
            </w:r>
          </w:p>
        </w:tc>
        <w:tc>
          <w:tcPr>
            <w:tcW w:type="dxa" w:w="893"/>
          </w:tcPr>
          <w:p>
            <w:pPr>
              <w:spacing w:before="20" w:after="20"/>
              <w:jc w:val="right"/>
            </w:pPr>
            <w:r/>
            <w:r>
              <w:rPr>
                <w:sz w:val="16"/>
              </w:rPr>
              <w:t>$116.2</w:t>
            </w:r>
          </w:p>
        </w:tc>
        <w:tc>
          <w:tcPr>
            <w:tcW w:type="dxa" w:w="893"/>
          </w:tcPr>
          <w:p>
            <w:pPr>
              <w:spacing w:before="20" w:after="20"/>
              <w:jc w:val="right"/>
            </w:pPr>
            <w:r/>
            <w:r>
              <w:rPr>
                <w:sz w:val="16"/>
              </w:rPr>
              <w:t>$107.2</w:t>
            </w:r>
          </w:p>
        </w:tc>
        <w:tc>
          <w:tcPr>
            <w:tcW w:type="dxa" w:w="893"/>
          </w:tcPr>
          <w:p>
            <w:pPr>
              <w:spacing w:before="20" w:after="20"/>
              <w:jc w:val="right"/>
            </w:pPr>
            <w:r/>
            <w:r>
              <w:rPr>
                <w:sz w:val="16"/>
              </w:rPr>
              <w:t>$117.6</w:t>
            </w:r>
          </w:p>
        </w:tc>
        <w:tc>
          <w:tcPr>
            <w:tcW w:type="dxa" w:w="1224"/>
          </w:tcPr>
          <w:p>
            <w:pPr>
              <w:spacing w:before="20" w:after="20"/>
              <w:jc w:val="right"/>
            </w:pPr>
            <w:r/>
            <w:r>
              <w:rPr>
                <w:sz w:val="16"/>
              </w:rPr>
              <w:t>$102.9</w:t>
            </w:r>
          </w:p>
        </w:tc>
        <w:tc>
          <w:tcPr>
            <w:tcW w:type="dxa" w:w="864"/>
          </w:tcPr>
          <w:p>
            <w:pPr>
              <w:spacing w:before="20" w:after="20"/>
              <w:jc w:val="right"/>
            </w:pPr>
            <w:r/>
            <w:r>
              <w:rPr>
                <w:sz w:val="16"/>
              </w:rPr>
              <w:t>4.64%</w:t>
            </w:r>
          </w:p>
        </w:tc>
        <w:tc>
          <w:tcPr>
            <w:tcW w:type="dxa" w:w="1037"/>
          </w:tcPr>
          <w:p>
            <w:pPr>
              <w:spacing w:before="20" w:after="20"/>
              <w:jc w:val="right"/>
            </w:pPr>
            <w:r/>
            <w:r>
              <w:rPr>
                <w:sz w:val="16"/>
              </w:rPr>
              <w:t>2.16%</w:t>
            </w:r>
          </w:p>
        </w:tc>
      </w:tr>
      <w:tr>
        <w:tc>
          <w:tcPr>
            <w:tcW w:type="dxa" w:w="3528"/>
          </w:tcPr>
          <w:p>
            <w:pPr>
              <w:spacing w:before="20" w:after="20"/>
            </w:pPr>
            <w:r/>
            <w:r>
              <w:rPr>
                <w:sz w:val="16"/>
              </w:rPr>
              <w:t>Codex blend 0.75 XGB / 0.25 LGBM</w:t>
            </w:r>
          </w:p>
        </w:tc>
        <w:tc>
          <w:tcPr>
            <w:tcW w:type="dxa" w:w="893"/>
          </w:tcPr>
          <w:p>
            <w:pPr>
              <w:spacing w:before="20" w:after="20"/>
              <w:jc w:val="right"/>
            </w:pPr>
            <w:r/>
            <w:r>
              <w:rPr>
                <w:sz w:val="16"/>
              </w:rPr>
              <w:t>$118.2</w:t>
            </w:r>
          </w:p>
        </w:tc>
        <w:tc>
          <w:tcPr>
            <w:tcW w:type="dxa" w:w="893"/>
          </w:tcPr>
          <w:p>
            <w:pPr>
              <w:spacing w:before="20" w:after="20"/>
              <w:jc w:val="right"/>
            </w:pPr>
            <w:r/>
            <w:r>
              <w:rPr>
                <w:sz w:val="16"/>
              </w:rPr>
              <w:t>$115.6</w:t>
            </w:r>
          </w:p>
        </w:tc>
        <w:tc>
          <w:tcPr>
            <w:tcW w:type="dxa" w:w="893"/>
          </w:tcPr>
          <w:p>
            <w:pPr>
              <w:spacing w:before="20" w:after="20"/>
              <w:jc w:val="right"/>
            </w:pPr>
            <w:r/>
            <w:r>
              <w:rPr>
                <w:sz w:val="16"/>
              </w:rPr>
              <w:t>$107.2</w:t>
            </w:r>
          </w:p>
        </w:tc>
        <w:tc>
          <w:tcPr>
            <w:tcW w:type="dxa" w:w="893"/>
          </w:tcPr>
          <w:p>
            <w:pPr>
              <w:spacing w:before="20" w:after="20"/>
              <w:jc w:val="right"/>
            </w:pPr>
            <w:r/>
            <w:r>
              <w:rPr>
                <w:sz w:val="16"/>
              </w:rPr>
              <w:t>$118.9</w:t>
            </w:r>
          </w:p>
        </w:tc>
        <w:tc>
          <w:tcPr>
            <w:tcW w:type="dxa" w:w="1224"/>
          </w:tcPr>
          <w:p>
            <w:pPr>
              <w:spacing w:before="20" w:after="20"/>
              <w:jc w:val="right"/>
            </w:pPr>
            <w:r/>
            <w:r>
              <w:rPr>
                <w:sz w:val="16"/>
              </w:rPr>
              <w:t>$113.7</w:t>
            </w:r>
          </w:p>
        </w:tc>
        <w:tc>
          <w:tcPr>
            <w:tcW w:type="dxa" w:w="864"/>
          </w:tcPr>
          <w:p>
            <w:pPr>
              <w:spacing w:before="20" w:after="20"/>
              <w:jc w:val="right"/>
            </w:pPr>
            <w:r/>
            <w:r>
              <w:rPr>
                <w:sz w:val="16"/>
              </w:rPr>
              <w:t>5.09%</w:t>
            </w:r>
          </w:p>
        </w:tc>
        <w:tc>
          <w:tcPr>
            <w:tcW w:type="dxa" w:w="1037"/>
          </w:tcPr>
          <w:p>
            <w:pPr>
              <w:spacing w:before="20" w:after="20"/>
              <w:jc w:val="right"/>
            </w:pPr>
            <w:r/>
            <w:r>
              <w:rPr>
                <w:sz w:val="16"/>
              </w:rPr>
              <w:t>2.63%</w:t>
            </w:r>
          </w:p>
        </w:tc>
      </w:tr>
      <w:tr>
        <w:tc>
          <w:tcPr>
            <w:tcW w:type="dxa" w:w="3528"/>
          </w:tcPr>
          <w:p>
            <w:pPr>
              <w:spacing w:before="20" w:after="20"/>
            </w:pPr>
            <w:r/>
            <w:r>
              <w:rPr>
                <w:sz w:val="16"/>
              </w:rPr>
              <w:t>Codex LGBM-L1</w:t>
            </w:r>
          </w:p>
        </w:tc>
        <w:tc>
          <w:tcPr>
            <w:tcW w:type="dxa" w:w="893"/>
          </w:tcPr>
          <w:p>
            <w:pPr>
              <w:spacing w:before="20" w:after="20"/>
              <w:jc w:val="right"/>
            </w:pPr>
            <w:r/>
            <w:r>
              <w:rPr>
                <w:sz w:val="16"/>
              </w:rPr>
              <w:t>$119.5</w:t>
            </w:r>
          </w:p>
        </w:tc>
        <w:tc>
          <w:tcPr>
            <w:tcW w:type="dxa" w:w="893"/>
          </w:tcPr>
          <w:p>
            <w:pPr>
              <w:spacing w:before="20" w:after="20"/>
              <w:jc w:val="right"/>
            </w:pPr>
            <w:r/>
            <w:r>
              <w:rPr>
                <w:sz w:val="16"/>
              </w:rPr>
              <w:t>$111.4</w:t>
            </w:r>
          </w:p>
        </w:tc>
        <w:tc>
          <w:tcPr>
            <w:tcW w:type="dxa" w:w="893"/>
          </w:tcPr>
          <w:p>
            <w:pPr>
              <w:spacing w:before="20" w:after="20"/>
              <w:jc w:val="right"/>
            </w:pPr>
            <w:r/>
            <w:r>
              <w:rPr>
                <w:sz w:val="16"/>
              </w:rPr>
              <w:t>$110.6</w:t>
            </w:r>
          </w:p>
        </w:tc>
        <w:tc>
          <w:tcPr>
            <w:tcW w:type="dxa" w:w="893"/>
          </w:tcPr>
          <w:p>
            <w:pPr>
              <w:spacing w:before="20" w:after="20"/>
              <w:jc w:val="right"/>
            </w:pPr>
            <w:r/>
            <w:r>
              <w:rPr>
                <w:sz w:val="16"/>
              </w:rPr>
              <w:t>$114.8</w:t>
            </w:r>
          </w:p>
        </w:tc>
        <w:tc>
          <w:tcPr>
            <w:tcW w:type="dxa" w:w="1224"/>
          </w:tcPr>
          <w:p>
            <w:pPr>
              <w:spacing w:before="20" w:after="20"/>
              <w:jc w:val="right"/>
            </w:pPr>
            <w:r/>
            <w:r>
              <w:rPr>
                <w:sz w:val="16"/>
              </w:rPr>
              <w:t>$113.8</w:t>
            </w:r>
          </w:p>
        </w:tc>
        <w:tc>
          <w:tcPr>
            <w:tcW w:type="dxa" w:w="864"/>
          </w:tcPr>
          <w:p>
            <w:pPr>
              <w:spacing w:before="20" w:after="20"/>
              <w:jc w:val="right"/>
            </w:pPr>
            <w:r/>
            <w:r>
              <w:rPr>
                <w:sz w:val="16"/>
              </w:rPr>
              <w:t>5.08%</w:t>
            </w:r>
          </w:p>
        </w:tc>
        <w:tc>
          <w:tcPr>
            <w:tcW w:type="dxa" w:w="1037"/>
          </w:tcPr>
          <w:p>
            <w:pPr>
              <w:spacing w:before="20" w:after="20"/>
              <w:jc w:val="right"/>
            </w:pPr>
            <w:r/>
            <w:r>
              <w:rPr>
                <w:sz w:val="16"/>
              </w:rPr>
              <w:t>2.62%</w:t>
            </w:r>
          </w:p>
        </w:tc>
      </w:tr>
      <w:tr>
        <w:tc>
          <w:tcPr>
            <w:tcW w:type="dxa" w:w="3528"/>
          </w:tcPr>
          <w:p>
            <w:pPr>
              <w:spacing w:before="20" w:after="20"/>
            </w:pPr>
            <w:r/>
            <w:r>
              <w:rPr>
                <w:sz w:val="16"/>
              </w:rPr>
              <w:t>Codex XGB-L1</w:t>
            </w:r>
          </w:p>
        </w:tc>
        <w:tc>
          <w:tcPr>
            <w:tcW w:type="dxa" w:w="893"/>
          </w:tcPr>
          <w:p>
            <w:pPr>
              <w:spacing w:before="20" w:after="20"/>
              <w:jc w:val="right"/>
            </w:pPr>
            <w:r/>
            <w:r>
              <w:rPr>
                <w:sz w:val="16"/>
              </w:rPr>
              <w:t>$121.7</w:t>
            </w:r>
          </w:p>
        </w:tc>
        <w:tc>
          <w:tcPr>
            <w:tcW w:type="dxa" w:w="893"/>
          </w:tcPr>
          <w:p>
            <w:pPr>
              <w:spacing w:before="20" w:after="20"/>
              <w:jc w:val="right"/>
            </w:pPr>
            <w:r/>
            <w:r>
              <w:rPr>
                <w:sz w:val="16"/>
              </w:rPr>
              <w:t>$119.5</w:t>
            </w:r>
          </w:p>
        </w:tc>
        <w:tc>
          <w:tcPr>
            <w:tcW w:type="dxa" w:w="893"/>
          </w:tcPr>
          <w:p>
            <w:pPr>
              <w:spacing w:before="20" w:after="20"/>
              <w:jc w:val="right"/>
            </w:pPr>
            <w:r/>
            <w:r>
              <w:rPr>
                <w:sz w:val="16"/>
              </w:rPr>
              <w:t>$109.4</w:t>
            </w:r>
          </w:p>
        </w:tc>
        <w:tc>
          <w:tcPr>
            <w:tcW w:type="dxa" w:w="893"/>
          </w:tcPr>
          <w:p>
            <w:pPr>
              <w:spacing w:before="20" w:after="20"/>
              <w:jc w:val="right"/>
            </w:pPr>
            <w:r/>
            <w:r>
              <w:rPr>
                <w:sz w:val="16"/>
              </w:rPr>
              <w:t>$122.3</w:t>
            </w:r>
          </w:p>
        </w:tc>
        <w:tc>
          <w:tcPr>
            <w:tcW w:type="dxa" w:w="1224"/>
          </w:tcPr>
          <w:p>
            <w:pPr>
              <w:spacing w:before="20" w:after="20"/>
              <w:jc w:val="right"/>
            </w:pPr>
            <w:r/>
            <w:r>
              <w:rPr>
                <w:sz w:val="16"/>
              </w:rPr>
              <w:t>$116.9</w:t>
            </w:r>
          </w:p>
        </w:tc>
        <w:tc>
          <w:tcPr>
            <w:tcW w:type="dxa" w:w="864"/>
          </w:tcPr>
          <w:p>
            <w:pPr>
              <w:spacing w:before="20" w:after="20"/>
              <w:jc w:val="right"/>
            </w:pPr>
            <w:r/>
            <w:r>
              <w:rPr>
                <w:sz w:val="16"/>
              </w:rPr>
              <w:t>5.26%</w:t>
            </w:r>
          </w:p>
        </w:tc>
        <w:tc>
          <w:tcPr>
            <w:tcW w:type="dxa" w:w="1037"/>
          </w:tcPr>
          <w:p>
            <w:pPr>
              <w:spacing w:before="20" w:after="20"/>
              <w:jc w:val="right"/>
            </w:pPr>
            <w:r/>
            <w:r>
              <w:rPr>
                <w:sz w:val="16"/>
              </w:rPr>
              <w:t>2.80%</w:t>
            </w:r>
          </w:p>
        </w:tc>
      </w:tr>
      <w:tr>
        <w:tc>
          <w:tcPr>
            <w:tcW w:type="dxa" w:w="3528"/>
          </w:tcPr>
          <w:p>
            <w:pPr>
              <w:spacing w:before="20" w:after="20"/>
            </w:pPr>
            <w:r/>
            <w:r>
              <w:rPr>
                <w:sz w:val="16"/>
              </w:rPr>
              <w:t>Linear, city indicators, no time terms</w:t>
            </w:r>
          </w:p>
        </w:tc>
        <w:tc>
          <w:tcPr>
            <w:tcW w:type="dxa" w:w="893"/>
          </w:tcPr>
          <w:p>
            <w:pPr>
              <w:spacing w:before="20" w:after="20"/>
              <w:jc w:val="right"/>
            </w:pPr>
            <w:r/>
            <w:r>
              <w:rPr>
                <w:sz w:val="16"/>
              </w:rPr>
              <w:t>$110.1</w:t>
            </w:r>
          </w:p>
        </w:tc>
        <w:tc>
          <w:tcPr>
            <w:tcW w:type="dxa" w:w="893"/>
          </w:tcPr>
          <w:p>
            <w:pPr>
              <w:spacing w:before="20" w:after="20"/>
              <w:jc w:val="right"/>
            </w:pPr>
            <w:r/>
            <w:r>
              <w:rPr>
                <w:sz w:val="16"/>
              </w:rPr>
              <w:t>$174.9</w:t>
            </w:r>
          </w:p>
        </w:tc>
        <w:tc>
          <w:tcPr>
            <w:tcW w:type="dxa" w:w="893"/>
          </w:tcPr>
          <w:p>
            <w:pPr>
              <w:spacing w:before="20" w:after="20"/>
              <w:jc w:val="right"/>
            </w:pPr>
            <w:r/>
            <w:r>
              <w:rPr>
                <w:sz w:val="16"/>
              </w:rPr>
              <w:t>$133.0</w:t>
            </w:r>
          </w:p>
        </w:tc>
        <w:tc>
          <w:tcPr>
            <w:tcW w:type="dxa" w:w="893"/>
          </w:tcPr>
          <w:p>
            <w:pPr>
              <w:spacing w:before="20" w:after="20"/>
              <w:jc w:val="right"/>
            </w:pPr>
            <w:r/>
            <w:r>
              <w:rPr>
                <w:sz w:val="16"/>
              </w:rPr>
              <w:t>$165.7</w:t>
            </w:r>
          </w:p>
        </w:tc>
        <w:tc>
          <w:tcPr>
            <w:tcW w:type="dxa" w:w="1224"/>
          </w:tcPr>
          <w:p>
            <w:pPr>
              <w:spacing w:before="20" w:after="20"/>
              <w:jc w:val="right"/>
            </w:pPr>
            <w:r/>
            <w:r>
              <w:rPr>
                <w:sz w:val="16"/>
              </w:rPr>
              <w:t>$139.3</w:t>
            </w:r>
          </w:p>
        </w:tc>
        <w:tc>
          <w:tcPr>
            <w:tcW w:type="dxa" w:w="864"/>
          </w:tcPr>
          <w:p>
            <w:pPr>
              <w:spacing w:before="20" w:after="20"/>
              <w:jc w:val="right"/>
            </w:pPr>
            <w:r/>
            <w:r>
              <w:rPr>
                <w:sz w:val="16"/>
              </w:rPr>
              <w:t>5.95%</w:t>
            </w:r>
          </w:p>
        </w:tc>
        <w:tc>
          <w:tcPr>
            <w:tcW w:type="dxa" w:w="1037"/>
          </w:tcPr>
          <w:p>
            <w:pPr>
              <w:spacing w:before="20" w:after="20"/>
              <w:jc w:val="right"/>
            </w:pPr>
            <w:r/>
            <w:r>
              <w:rPr>
                <w:sz w:val="16"/>
              </w:rPr>
              <w:t>3.56%</w:t>
            </w:r>
          </w:p>
        </w:tc>
      </w:tr>
      <w:tr>
        <w:tc>
          <w:tcPr>
            <w:tcW w:type="dxa" w:w="3528"/>
          </w:tcPr>
          <w:p>
            <w:pPr>
              <w:spacing w:before="20" w:after="20"/>
            </w:pPr>
            <w:r/>
            <w:r>
              <w:rPr>
                <w:sz w:val="16"/>
              </w:rPr>
              <w:t>Hybrid without trend</w:t>
            </w:r>
          </w:p>
        </w:tc>
        <w:tc>
          <w:tcPr>
            <w:tcW w:type="dxa" w:w="893"/>
          </w:tcPr>
          <w:p>
            <w:pPr>
              <w:spacing w:before="20" w:after="20"/>
              <w:jc w:val="right"/>
            </w:pPr>
            <w:r/>
            <w:r>
              <w:rPr>
                <w:sz w:val="16"/>
              </w:rPr>
              <w:t>$120.8</w:t>
            </w:r>
          </w:p>
        </w:tc>
        <w:tc>
          <w:tcPr>
            <w:tcW w:type="dxa" w:w="893"/>
          </w:tcPr>
          <w:p>
            <w:pPr>
              <w:spacing w:before="20" w:after="20"/>
              <w:jc w:val="right"/>
            </w:pPr>
            <w:r/>
            <w:r>
              <w:rPr>
                <w:sz w:val="16"/>
              </w:rPr>
              <w:t>$136.1</w:t>
            </w:r>
          </w:p>
        </w:tc>
        <w:tc>
          <w:tcPr>
            <w:tcW w:type="dxa" w:w="893"/>
          </w:tcPr>
          <w:p>
            <w:pPr>
              <w:spacing w:before="20" w:after="20"/>
              <w:jc w:val="right"/>
            </w:pPr>
            <w:r/>
            <w:r>
              <w:rPr>
                <w:sz w:val="16"/>
              </w:rPr>
              <w:t>$163.7</w:t>
            </w:r>
          </w:p>
        </w:tc>
        <w:tc>
          <w:tcPr>
            <w:tcW w:type="dxa" w:w="893"/>
          </w:tcPr>
          <w:p>
            <w:pPr>
              <w:spacing w:before="20" w:after="20"/>
              <w:jc w:val="right"/>
            </w:pPr>
            <w:r/>
            <w:r>
              <w:rPr>
                <w:sz w:val="16"/>
              </w:rPr>
              <w:t>$154.2</w:t>
            </w:r>
          </w:p>
        </w:tc>
        <w:tc>
          <w:tcPr>
            <w:tcW w:type="dxa" w:w="1224"/>
          </w:tcPr>
          <w:p>
            <w:pPr>
              <w:spacing w:before="20" w:after="20"/>
              <w:jc w:val="right"/>
            </w:pPr>
            <w:r/>
            <w:r>
              <w:rPr>
                <w:sz w:val="16"/>
              </w:rPr>
              <w:t>$140.2</w:t>
            </w:r>
          </w:p>
        </w:tc>
        <w:tc>
          <w:tcPr>
            <w:tcW w:type="dxa" w:w="864"/>
          </w:tcPr>
          <w:p>
            <w:pPr>
              <w:spacing w:before="20" w:after="20"/>
              <w:jc w:val="right"/>
            </w:pPr>
            <w:r/>
            <w:r>
              <w:rPr>
                <w:sz w:val="16"/>
              </w:rPr>
              <w:t>6.05%</w:t>
            </w:r>
          </w:p>
        </w:tc>
        <w:tc>
          <w:tcPr>
            <w:tcW w:type="dxa" w:w="1037"/>
          </w:tcPr>
          <w:p>
            <w:pPr>
              <w:spacing w:before="20" w:after="20"/>
              <w:jc w:val="right"/>
            </w:pPr>
            <w:r/>
            <w:r>
              <w:rPr>
                <w:sz w:val="16"/>
              </w:rPr>
              <w:t>3.68%</w:t>
            </w:r>
          </w:p>
        </w:tc>
      </w:tr>
      <w:tr>
        <w:tc>
          <w:tcPr>
            <w:tcW w:type="dxa" w:w="3528"/>
          </w:tcPr>
          <w:p>
            <w:pPr>
              <w:spacing w:before="20" w:after="20"/>
            </w:pPr>
            <w:r/>
            <w:r>
              <w:rPr>
                <w:sz w:val="16"/>
              </w:rPr>
              <w:t>Hybrid without trend or ramp</w:t>
            </w:r>
          </w:p>
        </w:tc>
        <w:tc>
          <w:tcPr>
            <w:tcW w:type="dxa" w:w="893"/>
          </w:tcPr>
          <w:p>
            <w:pPr>
              <w:spacing w:before="20" w:after="20"/>
              <w:jc w:val="right"/>
            </w:pPr>
            <w:r/>
            <w:r>
              <w:rPr>
                <w:sz w:val="16"/>
              </w:rPr>
              <w:t>$109.0</w:t>
            </w:r>
          </w:p>
        </w:tc>
        <w:tc>
          <w:tcPr>
            <w:tcW w:type="dxa" w:w="893"/>
          </w:tcPr>
          <w:p>
            <w:pPr>
              <w:spacing w:before="20" w:after="20"/>
              <w:jc w:val="right"/>
            </w:pPr>
            <w:r/>
            <w:r>
              <w:rPr>
                <w:sz w:val="16"/>
              </w:rPr>
              <w:t>$174.6</w:t>
            </w:r>
          </w:p>
        </w:tc>
        <w:tc>
          <w:tcPr>
            <w:tcW w:type="dxa" w:w="893"/>
          </w:tcPr>
          <w:p>
            <w:pPr>
              <w:spacing w:before="20" w:after="20"/>
              <w:jc w:val="right"/>
            </w:pPr>
            <w:r/>
            <w:r>
              <w:rPr>
                <w:sz w:val="16"/>
              </w:rPr>
              <w:t>$160.8</w:t>
            </w:r>
          </w:p>
        </w:tc>
        <w:tc>
          <w:tcPr>
            <w:tcW w:type="dxa" w:w="893"/>
          </w:tcPr>
          <w:p>
            <w:pPr>
              <w:spacing w:before="20" w:after="20"/>
              <w:jc w:val="right"/>
            </w:pPr>
            <w:r/>
            <w:r>
              <w:rPr>
                <w:sz w:val="16"/>
              </w:rPr>
              <w:t>$173.2</w:t>
            </w:r>
          </w:p>
        </w:tc>
        <w:tc>
          <w:tcPr>
            <w:tcW w:type="dxa" w:w="1224"/>
          </w:tcPr>
          <w:p>
            <w:pPr>
              <w:spacing w:before="20" w:after="20"/>
              <w:jc w:val="right"/>
            </w:pPr>
            <w:r/>
            <w:r>
              <w:rPr>
                <w:sz w:val="16"/>
              </w:rPr>
              <w:t>$148.1</w:t>
            </w:r>
          </w:p>
        </w:tc>
        <w:tc>
          <w:tcPr>
            <w:tcW w:type="dxa" w:w="864"/>
          </w:tcPr>
          <w:p>
            <w:pPr>
              <w:spacing w:before="20" w:after="20"/>
              <w:jc w:val="right"/>
            </w:pPr>
            <w:r/>
            <w:r>
              <w:rPr>
                <w:sz w:val="16"/>
              </w:rPr>
              <w:t>6.38%</w:t>
            </w:r>
          </w:p>
        </w:tc>
        <w:tc>
          <w:tcPr>
            <w:tcW w:type="dxa" w:w="1037"/>
          </w:tcPr>
          <w:p>
            <w:pPr>
              <w:spacing w:before="20" w:after="20"/>
              <w:jc w:val="right"/>
            </w:pPr>
            <w:r/>
            <w:r>
              <w:rPr>
                <w:sz w:val="16"/>
              </w:rPr>
              <w:t>4.01%</w:t>
            </w:r>
          </w:p>
        </w:tc>
      </w:tr>
      <w:tr>
        <w:tc>
          <w:tcPr>
            <w:tcW w:type="dxa" w:w="3528"/>
          </w:tcPr>
          <w:p>
            <w:pPr>
              <w:spacing w:before="20" w:after="20"/>
            </w:pPr>
            <w:r/>
            <w:r>
              <w:rPr>
                <w:sz w:val="16"/>
              </w:rPr>
              <w:t>Hybrid without market_index</w:t>
            </w:r>
          </w:p>
        </w:tc>
        <w:tc>
          <w:tcPr>
            <w:tcW w:type="dxa" w:w="893"/>
          </w:tcPr>
          <w:p>
            <w:pPr>
              <w:spacing w:before="20" w:after="20"/>
              <w:jc w:val="right"/>
            </w:pPr>
            <w:r/>
            <w:r>
              <w:rPr>
                <w:sz w:val="16"/>
              </w:rPr>
              <w:t>$197.3</w:t>
            </w:r>
          </w:p>
        </w:tc>
        <w:tc>
          <w:tcPr>
            <w:tcW w:type="dxa" w:w="893"/>
          </w:tcPr>
          <w:p>
            <w:pPr>
              <w:spacing w:before="20" w:after="20"/>
              <w:jc w:val="right"/>
            </w:pPr>
            <w:r/>
            <w:r>
              <w:rPr>
                <w:sz w:val="16"/>
              </w:rPr>
              <w:t>$205.8</w:t>
            </w:r>
          </w:p>
        </w:tc>
        <w:tc>
          <w:tcPr>
            <w:tcW w:type="dxa" w:w="893"/>
          </w:tcPr>
          <w:p>
            <w:pPr>
              <w:spacing w:before="20" w:after="20"/>
              <w:jc w:val="right"/>
            </w:pPr>
            <w:r/>
            <w:r>
              <w:rPr>
                <w:sz w:val="16"/>
              </w:rPr>
              <w:t>$101.1</w:t>
            </w:r>
          </w:p>
        </w:tc>
        <w:tc>
          <w:tcPr>
            <w:tcW w:type="dxa" w:w="893"/>
          </w:tcPr>
          <w:p>
            <w:pPr>
              <w:spacing w:before="20" w:after="20"/>
              <w:jc w:val="right"/>
            </w:pPr>
            <w:r/>
            <w:r>
              <w:rPr>
                <w:sz w:val="16"/>
              </w:rPr>
              <w:t>$169.2</w:t>
            </w:r>
          </w:p>
        </w:tc>
        <w:tc>
          <w:tcPr>
            <w:tcW w:type="dxa" w:w="1224"/>
          </w:tcPr>
          <w:p>
            <w:pPr>
              <w:spacing w:before="20" w:after="20"/>
              <w:jc w:val="right"/>
            </w:pPr>
            <w:r/>
            <w:r>
              <w:rPr>
                <w:sz w:val="16"/>
              </w:rPr>
              <w:t>$168.1</w:t>
            </w:r>
          </w:p>
        </w:tc>
        <w:tc>
          <w:tcPr>
            <w:tcW w:type="dxa" w:w="864"/>
          </w:tcPr>
          <w:p>
            <w:pPr>
              <w:spacing w:before="20" w:after="20"/>
              <w:jc w:val="right"/>
            </w:pPr>
            <w:r/>
            <w:r>
              <w:rPr>
                <w:sz w:val="16"/>
              </w:rPr>
              <w:t>7.41%</w:t>
            </w:r>
          </w:p>
        </w:tc>
        <w:tc>
          <w:tcPr>
            <w:tcW w:type="dxa" w:w="1037"/>
          </w:tcPr>
          <w:p>
            <w:pPr>
              <w:spacing w:before="20" w:after="20"/>
              <w:jc w:val="right"/>
            </w:pPr>
            <w:r/>
            <w:r>
              <w:rPr>
                <w:sz w:val="16"/>
              </w:rPr>
              <w:t>4.85%</w:t>
            </w:r>
          </w:p>
        </w:tc>
      </w:tr>
    </w:tbl>
    <w:p>
      <w:pPr>
        <w:spacing w:after="40"/>
      </w:pPr>
    </w:p>
    <w:p>
      <w:r>
        <w:rPr>
          <w:sz w:val="18"/>
        </w:rPr>
        <w:t>MAE in dollars on raw labels; MAPE and clean MAPE averaged over F1–F3. The Codex rows reproduce an earlier candidate solution (tree models on raw dollars with every feature, including quote_signal and calendar features). Removing the trend or market_index roughly doubles the error: handling time is the main problem.</w:t>
      </w:r>
    </w:p>
    <w:p>
      <w:r>
        <w:t>Tuning. Before any tuning run, a small grid was committed to the repository, along with the selection rule. The search went one setting at a time. It picked a linear trend over a step per quarter or a damped trend, 1,000 trees with 31 leaves, L2 loss, and city categoricals, improving the fold-average MAE from $87.1 to $85.2. One change was made after tuning. The folds contain no unseen cities, and in the unseen-city simulation the city categoricals cost money ($89.6 vs $88.2 with routing), so rows touching an unseen city use the model without them. This leaves every fold score unchanged. Results are stable across seeds (h2 MAE $88.5 / $88.5 / $88.5).</w:t>
      </w:r>
    </w:p>
    <w:p>
      <w:pPr>
        <w:pStyle w:val="Heading1"/>
      </w:pPr>
      <w:r>
        <w:t>6. December prediction</w:t>
      </w:r>
    </w:p>
    <w:p>
      <w:r>
        <w:t>The chart inputs contain no market_index. Each December day gets the mean market_index of that day's loads in validation.csv. This is an input feature Spotter supplied for the same dates, not a label, and it is how the model is applied to the validation loads too. Dropping it (weekday dummies in its place) raises the h2 clean MAPE from 1.37% to 4.76%. The resulting chart reflects four things: lower market_index in December, the weekly cycle, the continuing drift, and the Dry Van quarter-end ramp. It runs from $839 to $881 (mean $859). A Codex-style LightGBM trained without market_index draws an almost flat line ($835–$847, Figure 8), because a tree has no way to extend time effects beyond October.</w:t>
      </w:r>
    </w:p>
    <w:p>
      <w:pPr>
        <w:jc w:val="center"/>
      </w:pPr>
      <w:r>
        <w:drawing>
          <wp:inline xmlns:a="http://schemas.openxmlformats.org/drawingml/2006/main" xmlns:pic="http://schemas.openxmlformats.org/drawingml/2006/picture">
            <wp:extent cx="5760720" cy="2433673"/>
            <wp:docPr id="8" name="Picture 8"/>
            <wp:cNvGraphicFramePr>
              <a:graphicFrameLocks noChangeAspect="1"/>
            </wp:cNvGraphicFramePr>
            <a:graphic>
              <a:graphicData uri="http://schemas.openxmlformats.org/drawingml/2006/picture">
                <pic:pic>
                  <pic:nvPicPr>
                    <pic:cNvPr id="0" name="december_crosscheck.png"/>
                    <pic:cNvPicPr/>
                  </pic:nvPicPr>
                  <pic:blipFill>
                    <a:blip r:embed="rId16"/>
                    <a:stretch>
                      <a:fillRect/>
                    </a:stretch>
                  </pic:blipFill>
                  <pic:spPr>
                    <a:xfrm>
                      <a:off x="0" y="0"/>
                      <a:ext cx="5760720" cy="2433673"/>
                    </a:xfrm>
                    <a:prstGeom prst="rect"/>
                  </pic:spPr>
                </pic:pic>
              </a:graphicData>
            </a:graphic>
          </wp:inline>
        </w:drawing>
      </w:r>
    </w:p>
    <w:p>
      <w:pPr>
        <w:jc w:val="center"/>
      </w:pPr>
      <w:r>
        <w:rPr>
          <w:i/>
          <w:color w:val="52514E"/>
          <w:sz w:val="17"/>
        </w:rPr>
        <w:t>Figure 8. December chart lane: submitted hybrid vs. a tree model without market_index.</w:t>
      </w:r>
    </w:p>
    <w:p>
      <w:r>
        <w:t>Sanity checks on the 12,000 validation predictions: no missing or non-positive values; median rate per mile Dry Van $2.07 (training $2.05), Flatbed $2.26 (training $2.22), Reefer $2.35 (training $2.31); unseen-city rows average $2.23/mi vs $2.22/mi for the rest.</w:t>
      </w:r>
    </w:p>
    <w:p>
      <w:pPr>
        <w:pStyle w:val="Heading1"/>
      </w:pPr>
      <w:r>
        <w:t>7. Limitations and next steps</w:t>
      </w:r>
    </w:p>
    <w:p>
      <w:pPr>
        <w:pStyle w:val="ListBullet"/>
      </w:pPr>
      <w:r>
        <w:rPr>
          <w:b/>
        </w:rPr>
        <w:t>Extrapolation:</w:t>
      </w:r>
      <w:r>
        <w:t xml:space="preserve"> the linear trend and the December ramp are projected two months beyond the data. The ramp held in 3 of 3 quarters but cannot be checked for December. In the backtests, the model under-predicted October by 1.0% (the month after a quarter end).</w:t>
      </w:r>
    </w:p>
    <w:p>
      <w:pPr>
        <w:pStyle w:val="ListBullet"/>
      </w:pPr>
      <w:r>
        <w:rPr>
          <w:b/>
        </w:rPr>
        <w:t>Holidays:</w:t>
      </w:r>
      <w:r>
        <w:t xml:space="preserve"> holiday effects in late December cannot be learned from Jan–Oct data.</w:t>
      </w:r>
    </w:p>
    <w:p>
      <w:pPr>
        <w:pStyle w:val="ListBullet"/>
      </w:pPr>
      <w:r>
        <w:rPr>
          <w:b/>
        </w:rPr>
        <w:t>Label corruption:</w:t>
      </w:r>
      <w:r>
        <w:t xml:space="preserve"> if the validation labels contain the same ~1.4% corruption, raw MAE and especially RMSE will carry an error floor that no model can remove.</w:t>
      </w:r>
    </w:p>
    <w:p>
      <w:pPr>
        <w:pStyle w:val="ListBullet"/>
      </w:pPr>
      <w:r>
        <w:rPr>
          <w:b/>
        </w:rPr>
        <w:t>Next steps:</w:t>
      </w:r>
      <w:r>
        <w:t xml:space="preserve"> quantile models for prediction intervals; drift monitoring on market_index and the residual level; refitting monthly as new labels arrive; checking the corruption mechanism with the data owner.</w:t>
      </w:r>
    </w:p>
    <w:p>
      <w:pPr>
        <w:pStyle w:val="Heading1"/>
      </w:pPr>
      <w:r>
        <w:t>Appendix: how to reproduce</w:t>
      </w:r>
    </w:p>
    <w:p>
      <w:pPr>
        <w:spacing w:after="0"/>
      </w:pPr>
      <w:r>
        <w:rPr>
          <w:rFonts w:ascii="Consolas" w:hAnsi="Consolas"/>
          <w:sz w:val="17"/>
        </w:rPr>
        <w:t>python -m pip install -r requirements.txt</w:t>
      </w:r>
    </w:p>
    <w:p>
      <w:pPr>
        <w:spacing w:after="0"/>
      </w:pPr>
      <w:r>
        <w:rPr>
          <w:rFonts w:ascii="Consolas" w:hAnsi="Consolas"/>
          <w:sz w:val="17"/>
        </w:rPr>
        <w:t>python -m src.run_all          # full pipeline, about 10 minutes on 16 cores</w:t>
      </w:r>
    </w:p>
    <w:p>
      <w:pPr>
        <w:spacing w:after="0"/>
      </w:pPr>
      <w:r>
        <w:rPr>
          <w:rFonts w:ascii="Consolas" w:hAnsi="Consolas"/>
          <w:sz w:val="17"/>
        </w:rPr>
        <w:t>python -m src.tune             # optional: rerun the pre-registered tuning grid</w:t>
      </w:r>
    </w:p>
    <w:p>
      <w:pPr>
        <w:spacing w:after="0"/>
      </w:pPr>
      <w:r>
        <w:rPr>
          <w:rFonts w:ascii="Consolas" w:hAnsi="Consolas"/>
          <w:sz w:val="17"/>
        </w:rPr>
        <w:t>python score.py --predictions validation_predictions.csv --december-predictions data/december_chart_inputs.csv</w:t>
      </w:r>
    </w:p>
    <w:p>
      <w:r/>
    </w:p>
    <w:p>
      <w:r>
        <w:rPr>
          <w:sz w:val="18"/>
        </w:rPr>
        <w:t>src/clean.py: input repairs and the corrupted-label detector · src/features.py: feature builders · src/models.py: HybridModel and the baselines · src/validate.py: folds, metrics, contrasts · src/tune.py: tuning grid · src/train.py, src/predict.py: final fit and outputs · src/figures.py, src/report.py: this report.</w:t>
      </w:r>
    </w:p>
    <w:p>
      <w:r>
        <w:rPr>
          <w:sz w:val="18"/>
        </w:rPr>
        <w:t>Python 3.12 · pandas 2.3.3 · numpy 2.5.3 · scikit-learn 1.9.1 · LightGBM 4.7.0 · seeds fixed at 0.</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