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2E5AAC"/>
          <w:sz w:val="22"/>
          <w:szCs w:val="22"/>
        </w:rPr>
        <w:t xml:space="preserve">NEX GROUP LTD</w:t>
      </w:r>
    </w:p>
    <w:p>
      <w:pPr>
        <w:spacing w:after="200"/>
        <w:jc w:val="center"/>
      </w:pPr>
      <w:r>
        <w:rPr>
          <w:b/>
          <w:bCs/>
          <w:color w:val="1F2937"/>
          <w:sz w:val="40"/>
          <w:szCs w:val="40"/>
        </w:rPr>
        <w:t xml:space="preserve">Ownership, Intellectual Property &amp; Licensing Declaration</w:t>
      </w:r>
    </w:p>
    <w:p>
      <w:pPr>
        <w:spacing w:after="100"/>
        <w:jc w:val="center"/>
      </w:pPr>
      <w:r>
        <w:rPr>
          <w:b/>
          <w:bCs/>
          <w:color w:val="1F2937"/>
          <w:sz w:val="26"/>
          <w:szCs w:val="26"/>
        </w:rPr>
        <w:t xml:space="preserve">Product: EduStdHub</w:t>
      </w:r>
    </w:p>
    <w:p>
      <w:pPr>
        <w:spacing w:after="400"/>
        <w:jc w:val="center"/>
      </w:pPr>
      <w:r>
        <w:rPr>
          <w:i/>
          <w:iCs/>
          <w:color w:val="6B7280"/>
          <w:sz w:val="20"/>
          <w:szCs w:val="20"/>
        </w:rPr>
        <w:t xml:space="preserve">Document Date: September 15, 2026</w:t>
      </w:r>
    </w:p>
    <w:p>
      <w:pPr>
        <w:pStyle w:val="Heading1"/>
        <w:pBdr>
          <w:bottom w:val="single" w:color="2E5AAC" w:sz="6" w:space="4"/>
        </w:pBdr>
        <w:spacing w:after="160" w:before="360"/>
      </w:pPr>
      <w:r>
        <w:rPr>
          <w:b/>
          <w:bCs/>
          <w:color w:val="1F2937"/>
          <w:sz w:val="26"/>
          <w:szCs w:val="26"/>
        </w:rPr>
        <w:t xml:space="preserve">1. Purpose of This Document</w:t>
      </w:r>
    </w:p>
    <w:p>
      <w:pPr>
        <w:spacing w:after="160" w:line="300"/>
      </w:pPr>
      <w:r>
        <w:rPr>
          <w:sz w:val="22"/>
          <w:szCs w:val="22"/>
        </w:rPr>
        <w:t xml:space="preserve">This declaration formally records ownership, intellectual property status, and permitted-use terms for the software product EduStdHub (the "Product"), a web-based educational platform accessible at the domain listed in Section 2. It is issued by Nex Group LTD for the purpose of asserting proprietary rights, defining licensing conditions for third parties, and confirming the Product's approach to data privacy compliance.</w:t>
      </w:r>
    </w:p>
    <w:p>
      <w:pPr>
        <w:pStyle w:val="Heading1"/>
        <w:pBdr>
          <w:bottom w:val="single" w:color="2E5AAC" w:sz="6" w:space="4"/>
        </w:pBdr>
        <w:spacing w:after="160" w:before="360"/>
      </w:pPr>
      <w:r>
        <w:rPr>
          <w:b/>
          <w:bCs/>
          <w:color w:val="1F2937"/>
          <w:sz w:val="26"/>
          <w:szCs w:val="26"/>
        </w:rPr>
        <w:t xml:space="preserve">2. Product &amp; Entity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2F4F7" w:val="clear"/>
            <w:tcMar>
              <w:top w:type="dxa" w:w="100"/>
              <w:left w:type="dxa" w:w="150"/>
              <w:bottom w:type="dxa" w:w="100"/>
              <w:right w:type="dxa" w:w="150"/>
            </w:tcMar>
          </w:tcPr>
          <w:p>
            <w:r>
              <w:rPr>
                <w:b/>
                <w:bCs/>
                <w:color w:val="1F2937"/>
                <w:sz w:val="21"/>
                <w:szCs w:val="21"/>
              </w:rPr>
              <w:t xml:space="preserve">Product Name</w:t>
            </w:r>
          </w:p>
        </w:tc>
        <w:tc>
          <w:tcPr>
            <w:tcW w:type="dxa" w:w="6200"/>
            <w:tcMar>
              <w:top w:type="dxa" w:w="100"/>
              <w:left w:type="dxa" w:w="150"/>
              <w:bottom w:type="dxa" w:w="100"/>
              <w:right w:type="dxa" w:w="150"/>
            </w:tcMar>
          </w:tcPr>
          <w:p>
            <w:r>
              <w:rPr>
                <w:sz w:val="21"/>
                <w:szCs w:val="21"/>
              </w:rPr>
              <w:t xml:space="preserve">EduStdHub</w:t>
            </w:r>
          </w:p>
        </w:tc>
      </w:tr>
      <w:tr>
        <w:tc>
          <w:tcPr>
            <w:tcW w:type="dxa" w:w="3000"/>
            <w:shd w:fill="F2F4F7" w:val="clear"/>
            <w:tcMar>
              <w:top w:type="dxa" w:w="100"/>
              <w:left w:type="dxa" w:w="150"/>
              <w:bottom w:type="dxa" w:w="100"/>
              <w:right w:type="dxa" w:w="150"/>
            </w:tcMar>
          </w:tcPr>
          <w:p>
            <w:r>
              <w:rPr>
                <w:b/>
                <w:bCs/>
                <w:color w:val="1F2937"/>
                <w:sz w:val="21"/>
                <w:szCs w:val="21"/>
              </w:rPr>
              <w:t xml:space="preserve">Live URL</w:t>
            </w:r>
          </w:p>
        </w:tc>
        <w:tc>
          <w:tcPr>
            <w:tcW w:type="dxa" w:w="6200"/>
            <w:tcMar>
              <w:top w:type="dxa" w:w="100"/>
              <w:left w:type="dxa" w:w="150"/>
              <w:bottom w:type="dxa" w:w="100"/>
              <w:right w:type="dxa" w:w="150"/>
            </w:tcMar>
          </w:tcPr>
          <w:p>
            <w:r>
              <w:rPr>
                <w:sz w:val="21"/>
                <w:szCs w:val="21"/>
              </w:rPr>
              <w:t xml:space="preserve">https://eduhub-odg93azwm-anindyamahfujs-projects.vercel.app/login.html</w:t>
            </w:r>
          </w:p>
        </w:tc>
      </w:tr>
      <w:tr>
        <w:tc>
          <w:tcPr>
            <w:tcW w:type="dxa" w:w="3000"/>
            <w:shd w:fill="F2F4F7" w:val="clear"/>
            <w:tcMar>
              <w:top w:type="dxa" w:w="100"/>
              <w:left w:type="dxa" w:w="150"/>
              <w:bottom w:type="dxa" w:w="100"/>
              <w:right w:type="dxa" w:w="150"/>
            </w:tcMar>
          </w:tcPr>
          <w:p>
            <w:r>
              <w:rPr>
                <w:b/>
                <w:bCs/>
                <w:color w:val="1F2937"/>
                <w:sz w:val="21"/>
                <w:szCs w:val="21"/>
              </w:rPr>
              <w:t xml:space="preserve">Owning Entity</w:t>
            </w:r>
          </w:p>
        </w:tc>
        <w:tc>
          <w:tcPr>
            <w:tcW w:type="dxa" w:w="6200"/>
            <w:tcMar>
              <w:top w:type="dxa" w:w="100"/>
              <w:left w:type="dxa" w:w="150"/>
              <w:bottom w:type="dxa" w:w="100"/>
              <w:right w:type="dxa" w:w="150"/>
            </w:tcMar>
          </w:tcPr>
          <w:p>
            <w:r>
              <w:rPr>
                <w:sz w:val="21"/>
                <w:szCs w:val="21"/>
              </w:rPr>
              <w:t xml:space="preserve">Nex Group LTD</w:t>
            </w:r>
          </w:p>
        </w:tc>
      </w:tr>
      <w:tr>
        <w:tc>
          <w:tcPr>
            <w:tcW w:type="dxa" w:w="3000"/>
            <w:shd w:fill="F2F4F7" w:val="clear"/>
            <w:tcMar>
              <w:top w:type="dxa" w:w="100"/>
              <w:left w:type="dxa" w:w="150"/>
              <w:bottom w:type="dxa" w:w="100"/>
              <w:right w:type="dxa" w:w="150"/>
            </w:tcMar>
          </w:tcPr>
          <w:p>
            <w:r>
              <w:rPr>
                <w:b/>
                <w:bCs/>
                <w:color w:val="1F2937"/>
                <w:sz w:val="21"/>
                <w:szCs w:val="21"/>
              </w:rPr>
              <w:t xml:space="preserve">Registered Owners</w:t>
            </w:r>
          </w:p>
        </w:tc>
        <w:tc>
          <w:tcPr>
            <w:tcW w:type="dxa" w:w="6200"/>
            <w:tcMar>
              <w:top w:type="dxa" w:w="100"/>
              <w:left w:type="dxa" w:w="150"/>
              <w:bottom w:type="dxa" w:w="100"/>
              <w:right w:type="dxa" w:w="150"/>
            </w:tcMar>
          </w:tcPr>
          <w:p>
            <w:r>
              <w:rPr>
                <w:sz w:val="21"/>
                <w:szCs w:val="21"/>
              </w:rPr>
              <w:t xml:space="preserve">Abrar Rahman Nafiu; Sayed Anindya Mahfuj</w:t>
            </w:r>
          </w:p>
        </w:tc>
      </w:tr>
      <w:tr>
        <w:tc>
          <w:tcPr>
            <w:tcW w:type="dxa" w:w="3000"/>
            <w:shd w:fill="F2F4F7" w:val="clear"/>
            <w:tcMar>
              <w:top w:type="dxa" w:w="100"/>
              <w:left w:type="dxa" w:w="150"/>
              <w:bottom w:type="dxa" w:w="100"/>
              <w:right w:type="dxa" w:w="150"/>
            </w:tcMar>
          </w:tcPr>
          <w:p>
            <w:r>
              <w:rPr>
                <w:b/>
                <w:bCs/>
                <w:color w:val="1F2937"/>
                <w:sz w:val="21"/>
                <w:szCs w:val="21"/>
              </w:rPr>
              <w:t xml:space="preserve">Current Contact Number</w:t>
            </w:r>
          </w:p>
        </w:tc>
        <w:tc>
          <w:tcPr>
            <w:tcW w:type="dxa" w:w="6200"/>
            <w:tcMar>
              <w:top w:type="dxa" w:w="100"/>
              <w:left w:type="dxa" w:w="150"/>
              <w:bottom w:type="dxa" w:w="100"/>
              <w:right w:type="dxa" w:w="150"/>
            </w:tcMar>
          </w:tcPr>
          <w:p>
            <w:r>
              <w:rPr>
                <w:sz w:val="21"/>
                <w:szCs w:val="21"/>
              </w:rPr>
              <w:t xml:space="preserve">01913336217</w:t>
            </w:r>
          </w:p>
        </w:tc>
      </w:tr>
      <w:tr>
        <w:tc>
          <w:tcPr>
            <w:tcW w:type="dxa" w:w="3000"/>
            <w:shd w:fill="F2F4F7" w:val="clear"/>
            <w:tcMar>
              <w:top w:type="dxa" w:w="100"/>
              <w:left w:type="dxa" w:w="150"/>
              <w:bottom w:type="dxa" w:w="100"/>
              <w:right w:type="dxa" w:w="150"/>
            </w:tcMar>
          </w:tcPr>
          <w:p>
            <w:r>
              <w:rPr>
                <w:b/>
                <w:bCs/>
                <w:color w:val="1F2937"/>
                <w:sz w:val="21"/>
                <w:szCs w:val="21"/>
              </w:rPr>
              <w:t xml:space="preserve">Registration &amp; Patent Status</w:t>
            </w:r>
          </w:p>
        </w:tc>
        <w:tc>
          <w:tcPr>
            <w:tcW w:type="dxa" w:w="6200"/>
            <w:tcMar>
              <w:top w:type="dxa" w:w="100"/>
              <w:left w:type="dxa" w:w="150"/>
              <w:bottom w:type="dxa" w:w="100"/>
              <w:right w:type="dxa" w:w="150"/>
            </w:tcMar>
          </w:tcPr>
          <w:p>
            <w:r>
              <w:rPr>
                <w:sz w:val="21"/>
                <w:szCs w:val="21"/>
              </w:rPr>
              <w:t xml:space="preserve">Registered and patented, per Nex Group LTD records</w:t>
            </w:r>
          </w:p>
        </w:tc>
      </w:tr>
    </w:tbl>
    <w:p>
      <w:pPr>
        <w:spacing w:after="120" w:before="200"/>
      </w:pPr>
      <w:r>
        <w:rPr>
          <w:b/>
          <w:bCs/>
          <w:color w:val="2E5AAC"/>
          <w:sz w:val="20"/>
          <w:szCs w:val="20"/>
        </w:rPr>
        <w:t xml:space="preserve">Note: </w:t>
      </w:r>
      <w:r>
        <w:rPr>
          <w:i/>
          <w:iCs/>
          <w:color w:val="6B7280"/>
          <w:sz w:val="20"/>
          <w:szCs w:val="20"/>
        </w:rPr>
        <w:t xml:space="preserve">the live interface currently renders under the working name "StudyHub" on its login screen. This document treats "StudyHub" as an interim or internal build label for the same underlying product, EduStdHub, owned by Nex Group LTD. Nex Group LTD should reconcile on-screen branding with the registered product name to avoid ambiguity in future filings.</w:t>
      </w:r>
    </w:p>
    <w:p>
      <w:pPr>
        <w:pStyle w:val="Heading1"/>
        <w:pBdr>
          <w:bottom w:val="single" w:color="2E5AAC" w:sz="6" w:space="4"/>
        </w:pBdr>
        <w:spacing w:after="160" w:before="360"/>
      </w:pPr>
      <w:r>
        <w:rPr>
          <w:b/>
          <w:bCs/>
          <w:color w:val="1F2937"/>
          <w:sz w:val="26"/>
          <w:szCs w:val="26"/>
        </w:rPr>
        <w:t xml:space="preserve">3. Ownership &amp; Intellectual Property Rights</w:t>
      </w:r>
    </w:p>
    <w:p>
      <w:pPr>
        <w:spacing w:after="160" w:line="300"/>
      </w:pPr>
      <w:r>
        <w:rPr>
          <w:sz w:val="22"/>
          <w:szCs w:val="22"/>
        </w:rPr>
        <w:t xml:space="preserve">EduStdHub, including but not limited to its source code, user interface designs, database structures, branding elements, and underlying business logic, is the exclusive intellectual property of Nex Group LTD.</w:t>
      </w:r>
    </w:p>
    <w:p>
      <w:pPr>
        <w:spacing w:after="160" w:line="300"/>
      </w:pPr>
      <w:r>
        <w:rPr>
          <w:sz w:val="22"/>
          <w:szCs w:val="22"/>
        </w:rPr>
        <w:t xml:space="preserve">The Product is jointly owned and registered under the names of its founding owners:</w:t>
      </w:r>
    </w:p>
    <w:p>
      <w:pPr>
        <w:pStyle w:val="ListParagraph"/>
        <w:numPr>
          <w:ilvl w:val="0"/>
          <w:numId w:val="1"/>
        </w:numPr>
        <w:spacing w:after="100" w:line="280"/>
      </w:pPr>
      <w:r>
        <w:rPr>
          <w:sz w:val="22"/>
          <w:szCs w:val="22"/>
        </w:rPr>
        <w:t xml:space="preserve">Abrar Rahman Nafiu</w:t>
      </w:r>
    </w:p>
    <w:p>
      <w:pPr>
        <w:pStyle w:val="ListParagraph"/>
        <w:numPr>
          <w:ilvl w:val="0"/>
          <w:numId w:val="1"/>
        </w:numPr>
        <w:spacing w:after="100" w:line="280"/>
      </w:pPr>
      <w:r>
        <w:rPr>
          <w:sz w:val="22"/>
          <w:szCs w:val="22"/>
        </w:rPr>
        <w:t xml:space="preserve">Sayed Anindya Mahfuj</w:t>
      </w:r>
    </w:p>
    <w:p>
      <w:pPr>
        <w:spacing w:after="160" w:line="300"/>
      </w:pPr>
      <w:r>
        <w:rPr>
          <w:sz w:val="22"/>
          <w:szCs w:val="22"/>
        </w:rPr>
        <w:t xml:space="preserve">All rights not expressly granted under Section 4 of this document are reserved by Nex Group LTD and the named owners.</w:t>
      </w:r>
    </w:p>
    <w:p>
      <w:pPr>
        <w:pStyle w:val="Heading1"/>
        <w:pBdr>
          <w:bottom w:val="single" w:color="2E5AAC" w:sz="6" w:space="4"/>
        </w:pBdr>
        <w:spacing w:after="160" w:before="360"/>
      </w:pPr>
      <w:r>
        <w:rPr>
          <w:b/>
          <w:bCs/>
          <w:color w:val="1F2937"/>
          <w:sz w:val="26"/>
          <w:szCs w:val="26"/>
        </w:rPr>
        <w:t xml:space="preserve">4. Registration and Patent Status</w:t>
      </w:r>
    </w:p>
    <w:p>
      <w:pPr>
        <w:spacing w:after="160" w:line="300"/>
      </w:pPr>
      <w:r>
        <w:rPr>
          <w:sz w:val="22"/>
          <w:szCs w:val="22"/>
        </w:rPr>
        <w:t xml:space="preserve">Nex Group LTD represents that the Product and its associated assets have been registered and that applicable patent protections have been secured or filed. This declaration should be read alongside the underlying registration and patent certificates, which take precedence in the event of any discrepancy with this summary document.</w:t>
      </w:r>
    </w:p>
    <w:p>
      <w:pPr>
        <w:pStyle w:val="Heading1"/>
        <w:pBdr>
          <w:bottom w:val="single" w:color="2E5AAC" w:sz="6" w:space="4"/>
        </w:pBdr>
        <w:spacing w:after="160" w:before="360"/>
      </w:pPr>
      <w:r>
        <w:rPr>
          <w:b/>
          <w:bCs/>
          <w:color w:val="1F2937"/>
          <w:sz w:val="26"/>
          <w:szCs w:val="26"/>
        </w:rPr>
        <w:t xml:space="preserve">5. Licensing Terms</w:t>
      </w:r>
    </w:p>
    <w:p>
      <w:pPr>
        <w:spacing w:after="160" w:line="300"/>
      </w:pPr>
      <w:r>
        <w:rPr>
          <w:sz w:val="22"/>
          <w:szCs w:val="22"/>
        </w:rPr>
        <w:t xml:space="preserve">The Product is distributed under a proprietary license structure. Where the codebase incorporates MIT-licensed third-party components, those components remain governed by their original MIT terms; this does not extend permissive rights to the Product as a whole.</w:t>
      </w:r>
    </w:p>
    <w:p>
      <w:pPr>
        <w:spacing w:after="160" w:line="300"/>
      </w:pPr>
      <w:r>
        <w:rPr>
          <w:sz w:val="22"/>
          <w:szCs w:val="22"/>
        </w:rPr>
        <w:t xml:space="preserve">Use of EduStdHub, in whole or in part, is subject to the following conditions:</w:t>
      </w:r>
    </w:p>
    <w:p>
      <w:pPr>
        <w:pStyle w:val="ListParagraph"/>
        <w:numPr>
          <w:ilvl w:val="0"/>
          <w:numId w:val="1"/>
        </w:numPr>
        <w:spacing w:after="100" w:line="280"/>
      </w:pPr>
      <w:r>
        <w:rPr>
          <w:sz w:val="22"/>
          <w:szCs w:val="22"/>
        </w:rPr>
        <w:t xml:space="preserve">No individual or organization may copy, reproduce, distribute, modify, reverse-engineer, or commercially exploit the Product without prior written permission from Nex Group LTD.</w:t>
      </w:r>
    </w:p>
    <w:p>
      <w:pPr>
        <w:pStyle w:val="ListParagraph"/>
        <w:numPr>
          <w:ilvl w:val="0"/>
          <w:numId w:val="1"/>
        </w:numPr>
        <w:spacing w:after="100" w:line="280"/>
      </w:pPr>
      <w:r>
        <w:rPr>
          <w:sz w:val="22"/>
          <w:szCs w:val="22"/>
        </w:rPr>
        <w:t xml:space="preserve">Any authorized use beyond personal evaluation requires an explicit license agreement with Nex Group LTD.</w:t>
      </w:r>
    </w:p>
    <w:p>
      <w:pPr>
        <w:pStyle w:val="ListParagraph"/>
        <w:numPr>
          <w:ilvl w:val="0"/>
          <w:numId w:val="1"/>
        </w:numPr>
        <w:spacing w:after="100" w:line="280"/>
      </w:pPr>
      <w:r>
        <w:rPr>
          <w:sz w:val="22"/>
          <w:szCs w:val="22"/>
        </w:rPr>
        <w:t xml:space="preserve">Commercial or derivative use is subject to royalty payments, at terms to be agreed upon directly with Nex Group LTD.</w:t>
      </w:r>
    </w:p>
    <w:p>
      <w:pPr>
        <w:pStyle w:val="ListParagraph"/>
        <w:numPr>
          <w:ilvl w:val="0"/>
          <w:numId w:val="1"/>
        </w:numPr>
        <w:spacing w:after="100" w:line="280"/>
      </w:pPr>
      <w:r>
        <w:rPr>
          <w:sz w:val="22"/>
          <w:szCs w:val="22"/>
        </w:rPr>
        <w:t xml:space="preserve">Unauthorized use, replication, or distribution constitutes a violation of this license and may result in legal action.</w:t>
      </w:r>
    </w:p>
    <w:p>
      <w:pPr>
        <w:spacing w:after="160" w:line="300"/>
      </w:pPr>
      <w:r>
        <w:rPr>
          <w:sz w:val="22"/>
          <w:szCs w:val="22"/>
        </w:rPr>
        <w:t xml:space="preserve">Parties seeking permission, a commercial license, or to discuss royalty terms should contact Nex Group LTD using the details in Section 7.</w:t>
      </w:r>
    </w:p>
    <w:p>
      <w:pPr>
        <w:pStyle w:val="Heading1"/>
        <w:pBdr>
          <w:bottom w:val="single" w:color="2E5AAC" w:sz="6" w:space="4"/>
        </w:pBdr>
        <w:spacing w:after="160" w:before="360"/>
      </w:pPr>
      <w:r>
        <w:rPr>
          <w:b/>
          <w:bCs/>
          <w:color w:val="1F2937"/>
          <w:sz w:val="26"/>
          <w:szCs w:val="26"/>
        </w:rPr>
        <w:t xml:space="preserve">6. Data Privacy &amp; Regulatory Compliance</w:t>
      </w:r>
    </w:p>
    <w:p>
      <w:pPr>
        <w:spacing w:after="160" w:line="300"/>
      </w:pPr>
      <w:r>
        <w:rPr>
          <w:sz w:val="22"/>
          <w:szCs w:val="22"/>
        </w:rPr>
        <w:t xml:space="preserve">EduStdHub is designed with adherence to recognized student data privacy frameworks, including the Children's Online Privacy Protection Act (COPPA) and the General Data Protection Regulation (GDPR), as applied to simulated student data used within the platform.</w:t>
      </w:r>
    </w:p>
    <w:p>
      <w:pPr>
        <w:pStyle w:val="ListParagraph"/>
        <w:numPr>
          <w:ilvl w:val="0"/>
          <w:numId w:val="1"/>
        </w:numPr>
        <w:spacing w:after="100" w:line="280"/>
      </w:pPr>
      <w:r>
        <w:rPr>
          <w:sz w:val="22"/>
          <w:szCs w:val="22"/>
        </w:rPr>
        <w:t xml:space="preserve">No unencrypted personally identifiable information (PII) is stored or transmitted by the Product.</w:t>
      </w:r>
    </w:p>
    <w:p>
      <w:pPr>
        <w:pStyle w:val="ListParagraph"/>
        <w:numPr>
          <w:ilvl w:val="0"/>
          <w:numId w:val="1"/>
        </w:numPr>
        <w:spacing w:after="100" w:line="280"/>
      </w:pPr>
      <w:r>
        <w:rPr>
          <w:sz w:val="22"/>
          <w:szCs w:val="22"/>
        </w:rPr>
        <w:t xml:space="preserve">All simulated student data handling follows COPPA and GDPR principles regarding consent, data minimization, and protection of minors' information.</w:t>
      </w:r>
    </w:p>
    <w:p>
      <w:pPr>
        <w:pStyle w:val="ListParagraph"/>
        <w:numPr>
          <w:ilvl w:val="0"/>
          <w:numId w:val="1"/>
        </w:numPr>
        <w:spacing w:after="100" w:line="280"/>
      </w:pPr>
      <w:r>
        <w:rPr>
          <w:sz w:val="22"/>
          <w:szCs w:val="22"/>
        </w:rPr>
        <w:t xml:space="preserve">Nex Group LTD reserves the right to update its data handling practices to maintain ongoing compliance as regulations evolve.</w:t>
      </w:r>
    </w:p>
    <w:p>
      <w:pPr>
        <w:pStyle w:val="Heading1"/>
        <w:pBdr>
          <w:bottom w:val="single" w:color="2E5AAC" w:sz="6" w:space="4"/>
        </w:pBdr>
        <w:spacing w:after="160" w:before="360"/>
      </w:pPr>
      <w:r>
        <w:rPr>
          <w:b/>
          <w:bCs/>
          <w:color w:val="1F2937"/>
          <w:sz w:val="26"/>
          <w:szCs w:val="26"/>
        </w:rPr>
        <w:t xml:space="preserve">7. Contact Information</w:t>
      </w:r>
    </w:p>
    <w:p>
      <w:pPr>
        <w:spacing w:after="160" w:line="300"/>
      </w:pPr>
      <w:r>
        <w:rPr>
          <w:sz w:val="22"/>
          <w:szCs w:val="22"/>
        </w:rPr>
        <w:t xml:space="preserve">For licensing inquiries, permission requests, royalty discussions, or compliance-related questions, contact Nex Group LTD at the following number:</w:t>
      </w:r>
    </w:p>
    <w:p>
      <w:pPr>
        <w:spacing w:after="200"/>
      </w:pPr>
      <w:r>
        <w:rPr>
          <w:b/>
          <w:bCs/>
          <w:color w:val="2E5AAC"/>
          <w:sz w:val="24"/>
          <w:szCs w:val="24"/>
        </w:rPr>
        <w:t xml:space="preserve">Phone: 01913336217</w:t>
      </w:r>
    </w:p>
    <w:p>
      <w:pPr>
        <w:pStyle w:val="Heading1"/>
        <w:pBdr>
          <w:bottom w:val="single" w:color="2E5AAC" w:sz="6" w:space="4"/>
        </w:pBdr>
        <w:spacing w:after="160" w:before="360"/>
      </w:pPr>
      <w:r>
        <w:rPr>
          <w:b/>
          <w:bCs/>
          <w:color w:val="1F2937"/>
          <w:sz w:val="26"/>
          <w:szCs w:val="26"/>
        </w:rPr>
        <w:t xml:space="preserve">8. Declaration</w:t>
      </w:r>
    </w:p>
    <w:p>
      <w:pPr>
        <w:spacing w:after="160" w:line="300"/>
      </w:pPr>
      <w:r>
        <w:rPr>
          <w:sz w:val="22"/>
          <w:szCs w:val="22"/>
        </w:rPr>
        <w:t xml:space="preserve">This document constitutes a formal statement of ownership and licensing policy by Nex Group LTD regarding the EduStdHub product. It does not, by itself, replace formal legal registration certificates, patent filings, or a signed license agreement, each of which governs specific rights in greater detail.</w:t>
      </w:r>
    </w:p>
    <w:p>
      <w:pPr>
        <w:spacing w:before="600"/>
      </w:pPr>
      <w:r>
        <w:rPr>
          <w:b/>
          <w:bCs/>
          <w:color w:val="1F2937"/>
          <w:sz w:val="21"/>
          <w:szCs w:val="21"/>
        </w:rPr>
        <w:t xml:space="preserve">Authorized on behalf of Nex Group LTD</w:t>
      </w:r>
    </w:p>
    <w:p>
      <w:pPr>
        <w:spacing w:before="400"/>
      </w:pPr>
      <w:r>
        <w:rPr>
          <w:sz w:val="21"/>
          <w:szCs w:val="21"/>
        </w:rPr>
        <w:t xml:space="preserve">_____________________________</w:t>
      </w:r>
    </w:p>
    <w:p>
      <w:pPr>
        <w:spacing w:after="40"/>
      </w:pPr>
      <w:r>
        <w:rPr>
          <w:color w:val="6B7280"/>
          <w:sz w:val="20"/>
          <w:szCs w:val="20"/>
        </w:rPr>
        <w:t xml:space="preserve">Abrar Rahman Nafiu, Owner</w:t>
      </w:r>
    </w:p>
    <w:p>
      <w:pPr>
        <w:spacing w:before="400"/>
      </w:pPr>
      <w:r>
        <w:rPr>
          <w:sz w:val="21"/>
          <w:szCs w:val="21"/>
        </w:rPr>
        <w:t xml:space="preserve">_____________________________</w:t>
      </w:r>
    </w:p>
    <w:p>
      <w:r>
        <w:rPr>
          <w:color w:val="6B7280"/>
          <w:sz w:val="20"/>
          <w:szCs w:val="20"/>
        </w:rPr>
        <w:t xml:space="preserve">Sayed Anindya Mahfuj, Owner</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Nex Group LTD — EduStdHub — Confidential</w:t>
    </w:r>
    <w:r>
      <w:rPr>
        <w:color w:val="6B7280"/>
        <w:sz w:val="16"/>
        <w:szCs w:val="16"/>
      </w:rPr>
      <w:t xml:space="preserve">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2026-09-15T13:16:23.781Z</dcterms:created>
  <dcterms:modified xsi:type="dcterms:W3CDTF">2026-09-15T13:16:23.793Z</dcterms:modified>
</cp:coreProperties>
</file>

<file path=docProps/custom.xml><?xml version="1.0" encoding="utf-8"?>
<Properties xmlns="http://schemas.openxmlformats.org/officeDocument/2006/custom-properties" xmlns:vt="http://schemas.openxmlformats.org/officeDocument/2006/docPropsVTypes"/>
</file>