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before="240" w:line="312" w:lineRule="auto"/>
        <w:jc w:val="center"/>
      </w:pPr>
      <w:r>
        <w:rPr>
          <w:rFonts w:ascii="Arial" w:hAnsi="Arial" w:cs="Arial" w:eastAsia="Arial"/>
          <w:b/>
          <w:color w:val="1E3A8A"/>
          <w:sz w:val="32"/>
        </w:rPr>
        <w:t>DOMAIN-AWARE MULTI-AGENT NATURAL LANGUAGE TO SQL FRAMEWORK FOR ENTERPRISE SUPPLY CHAIN INTELLIGENCE</w:t>
      </w:r>
    </w:p>
    <w:p/>
    <w:p>
      <w:pPr>
        <w:spacing w:after="80" w:before="0" w:line="288" w:lineRule="auto"/>
        <w:jc w:val="center"/>
      </w:pPr>
      <w:r>
        <w:rPr>
          <w:rFonts w:ascii="Arial" w:hAnsi="Arial" w:cs="Arial" w:eastAsia="Arial"/>
          <w:b w:val="0"/>
          <w:color w:val="1F2937"/>
          <w:sz w:val="28"/>
        </w:rPr>
        <w:t>AIMLCZG628T: Dissertation</w:t>
      </w:r>
    </w:p>
    <w:p/>
    <w:p>
      <w:pPr>
        <w:spacing w:after="80" w:before="0" w:line="288" w:lineRule="auto"/>
        <w:jc w:val="center"/>
      </w:pPr>
      <w:r>
        <w:rPr>
          <w:rFonts w:ascii="Arial" w:hAnsi="Arial" w:cs="Arial" w:eastAsia="Arial"/>
          <w:b w:val="0"/>
          <w:color w:val="1F2937"/>
          <w:sz w:val="24"/>
        </w:rPr>
        <w:t>by</w:t>
      </w:r>
    </w:p>
    <w:p/>
    <w:p>
      <w:pPr>
        <w:spacing w:after="80" w:before="0" w:line="288" w:lineRule="auto"/>
        <w:jc w:val="center"/>
      </w:pPr>
      <w:r>
        <w:rPr>
          <w:rFonts w:ascii="Arial" w:hAnsi="Arial" w:cs="Arial" w:eastAsia="Arial"/>
          <w:b/>
          <w:color w:val="1F2937"/>
          <w:sz w:val="28"/>
        </w:rPr>
        <w:t>Aniruddha Prakash Kawarase</w:t>
      </w:r>
    </w:p>
    <w:p>
      <w:pPr>
        <w:spacing w:after="80" w:before="0" w:line="288" w:lineRule="auto"/>
        <w:jc w:val="center"/>
      </w:pPr>
      <w:r>
        <w:rPr>
          <w:rFonts w:ascii="Arial" w:hAnsi="Arial" w:cs="Arial" w:eastAsia="Arial"/>
          <w:b/>
          <w:color w:val="1F2937"/>
          <w:sz w:val="28"/>
        </w:rPr>
        <w:t>2024AA05175</w:t>
      </w:r>
    </w:p>
    <w:p/>
    <w:p/>
    <w:p>
      <w:pPr>
        <w:spacing w:after="80" w:before="0" w:line="288" w:lineRule="auto"/>
        <w:jc w:val="center"/>
      </w:pPr>
      <w:r>
        <w:rPr>
          <w:rFonts w:ascii="Arial" w:hAnsi="Arial" w:cs="Arial" w:eastAsia="Arial"/>
          <w:b w:val="0"/>
          <w:color w:val="1F2937"/>
          <w:sz w:val="24"/>
        </w:rPr>
        <w:t>Dissertation work carried out at</w:t>
      </w:r>
    </w:p>
    <w:p>
      <w:pPr>
        <w:spacing w:after="80" w:before="0" w:line="288" w:lineRule="auto"/>
        <w:jc w:val="center"/>
      </w:pPr>
      <w:r>
        <w:rPr>
          <w:rFonts w:ascii="Arial" w:hAnsi="Arial" w:cs="Arial" w:eastAsia="Arial"/>
          <w:b/>
          <w:color w:val="1F2937"/>
          <w:sz w:val="24"/>
        </w:rPr>
        <w:t>Alta Futuris Solutions, Pune</w:t>
      </w:r>
    </w:p>
    <w:p/>
    <w:p/>
    <w:p>
      <w:pPr>
        <w:spacing w:after="80" w:before="0" w:line="288" w:lineRule="auto"/>
        <w:jc w:val="center"/>
      </w:pPr>
      <w:r>
        <w:rPr>
          <w:rFonts w:ascii="Arial" w:hAnsi="Arial" w:cs="Arial" w:eastAsia="Arial"/>
          <w:b w:val="0"/>
          <w:color w:val="1F2937"/>
          <w:sz w:val="24"/>
        </w:rPr>
        <w:t>Submitted in partial fulfilment of the M.Tech. Artificial Intelligence and Machine Learning</w:t>
      </w:r>
    </w:p>
    <w:p>
      <w:pPr>
        <w:spacing w:after="80" w:before="0" w:line="288" w:lineRule="auto"/>
        <w:jc w:val="center"/>
      </w:pPr>
      <w:r>
        <w:rPr>
          <w:rFonts w:ascii="Arial" w:hAnsi="Arial" w:cs="Arial" w:eastAsia="Arial"/>
          <w:b w:val="0"/>
          <w:color w:val="1F2937"/>
          <w:sz w:val="24"/>
        </w:rPr>
        <w:t>degree programme</w:t>
      </w:r>
    </w:p>
    <w:p/>
    <w:p/>
    <w:p>
      <w:pPr>
        <w:spacing w:after="80" w:before="0" w:line="288" w:lineRule="auto"/>
        <w:jc w:val="center"/>
      </w:pPr>
      <w:r>
        <w:rPr>
          <w:rFonts w:ascii="Arial" w:hAnsi="Arial" w:cs="Arial" w:eastAsia="Arial"/>
          <w:b w:val="0"/>
          <w:color w:val="1F2937"/>
          <w:sz w:val="24"/>
        </w:rPr>
        <w:t>Under the Supervision of</w:t>
      </w:r>
    </w:p>
    <w:p>
      <w:pPr>
        <w:spacing w:after="80" w:before="0" w:line="288" w:lineRule="auto"/>
        <w:jc w:val="center"/>
      </w:pPr>
      <w:r>
        <w:rPr>
          <w:rFonts w:ascii="Arial" w:hAnsi="Arial" w:cs="Arial" w:eastAsia="Arial"/>
          <w:b/>
          <w:color w:val="1F2937"/>
          <w:sz w:val="28"/>
        </w:rPr>
        <w:t>[Insert Supervisor Name]</w:t>
      </w:r>
    </w:p>
    <w:p>
      <w:pPr>
        <w:spacing w:after="80" w:before="0" w:line="288" w:lineRule="auto"/>
        <w:jc w:val="center"/>
      </w:pPr>
      <w:r>
        <w:rPr>
          <w:rFonts w:ascii="Arial" w:hAnsi="Arial" w:cs="Arial" w:eastAsia="Arial"/>
          <w:b/>
          <w:color w:val="1F2937"/>
          <w:sz w:val="24"/>
        </w:rPr>
        <w:t>BITS Pilani — WILP Division, Pilani</w:t>
      </w:r>
    </w:p>
    <w:p/>
    <w:p/>
    <w:p/>
    <w:p>
      <w:pPr>
        <w:spacing w:after="80" w:before="0" w:line="288" w:lineRule="auto"/>
        <w:jc w:val="center"/>
      </w:pPr>
      <w:r>
        <w:rPr>
          <w:rFonts w:ascii="Arial" w:hAnsi="Arial" w:cs="Arial" w:eastAsia="Arial"/>
          <w:b/>
          <w:color w:val="1E3A8A"/>
          <w:sz w:val="28"/>
        </w:rPr>
        <w:t>BIRLA INSTITUTE OF TECHNOLOGY &amp; SCIENCE</w:t>
      </w:r>
    </w:p>
    <w:p>
      <w:pPr>
        <w:spacing w:after="80" w:before="0" w:line="288" w:lineRule="auto"/>
        <w:jc w:val="center"/>
      </w:pPr>
      <w:r>
        <w:rPr>
          <w:rFonts w:ascii="Arial" w:hAnsi="Arial" w:cs="Arial" w:eastAsia="Arial"/>
          <w:b/>
          <w:color w:val="1E3A8A"/>
          <w:sz w:val="28"/>
        </w:rPr>
        <w:t>PILANI (RAJASTHAN)</w:t>
      </w:r>
    </w:p>
    <w:p>
      <w:pPr>
        <w:spacing w:after="80" w:before="0" w:line="288" w:lineRule="auto"/>
        <w:jc w:val="center"/>
      </w:pPr>
      <w:r>
        <w:rPr>
          <w:rFonts w:ascii="Arial" w:hAnsi="Arial" w:cs="Arial" w:eastAsia="Arial"/>
          <w:b/>
          <w:color w:val="1F2937"/>
          <w:sz w:val="24"/>
        </w:rPr>
        <w:t>June 2026</w:t>
      </w:r>
    </w:p>
    <w:p>
      <w:r>
        <w:br w:type="page"/>
      </w:r>
    </w:p>
    <w:p/>
    <w:p>
      <w:pPr>
        <w:spacing w:after="80" w:before="240" w:line="312" w:lineRule="auto"/>
        <w:jc w:val="center"/>
      </w:pPr>
      <w:r>
        <w:rPr>
          <w:rFonts w:ascii="Arial" w:hAnsi="Arial" w:cs="Arial" w:eastAsia="Arial"/>
          <w:b/>
          <w:color w:val="1E3A8A"/>
          <w:sz w:val="32"/>
        </w:rPr>
        <w:t>DOMAIN-AWARE MULTI-AGENT NATURAL LANGUAGE TO SQL FRAMEWORK FOR ENTERPRISE SUPPLY CHAIN INTELLIGENCE</w:t>
      </w:r>
    </w:p>
    <w:p/>
    <w:p>
      <w:pPr>
        <w:spacing w:after="80" w:before="0" w:line="288" w:lineRule="auto"/>
        <w:jc w:val="center"/>
      </w:pPr>
      <w:r>
        <w:rPr>
          <w:rFonts w:ascii="Arial" w:hAnsi="Arial" w:cs="Arial" w:eastAsia="Arial"/>
          <w:b w:val="0"/>
          <w:color w:val="1F2937"/>
          <w:sz w:val="28"/>
        </w:rPr>
        <w:t>AIMLCZG628T: Dissertation</w:t>
      </w:r>
    </w:p>
    <w:p/>
    <w:p>
      <w:pPr>
        <w:spacing w:after="80" w:before="0" w:line="288" w:lineRule="auto"/>
        <w:jc w:val="center"/>
      </w:pPr>
      <w:r>
        <w:rPr>
          <w:rFonts w:ascii="Arial" w:hAnsi="Arial" w:cs="Arial" w:eastAsia="Arial"/>
          <w:b w:val="0"/>
          <w:color w:val="1F2937"/>
          <w:sz w:val="24"/>
        </w:rPr>
        <w:t>by</w:t>
      </w:r>
    </w:p>
    <w:p/>
    <w:p>
      <w:pPr>
        <w:spacing w:after="80" w:before="0" w:line="288" w:lineRule="auto"/>
        <w:jc w:val="center"/>
      </w:pPr>
      <w:r>
        <w:rPr>
          <w:rFonts w:ascii="Arial" w:hAnsi="Arial" w:cs="Arial" w:eastAsia="Arial"/>
          <w:b/>
          <w:color w:val="1F2937"/>
          <w:sz w:val="28"/>
        </w:rPr>
        <w:t>Aniruddha Prakash Kawarase</w:t>
      </w:r>
    </w:p>
    <w:p>
      <w:pPr>
        <w:spacing w:after="80" w:before="0" w:line="288" w:lineRule="auto"/>
        <w:jc w:val="center"/>
      </w:pPr>
      <w:r>
        <w:rPr>
          <w:rFonts w:ascii="Arial" w:hAnsi="Arial" w:cs="Arial" w:eastAsia="Arial"/>
          <w:b/>
          <w:color w:val="1F2937"/>
          <w:sz w:val="28"/>
        </w:rPr>
        <w:t>2024AA05175</w:t>
      </w:r>
    </w:p>
    <w:p/>
    <w:p/>
    <w:p>
      <w:pPr>
        <w:spacing w:after="80" w:before="0" w:line="288" w:lineRule="auto"/>
        <w:jc w:val="center"/>
      </w:pPr>
      <w:r>
        <w:rPr>
          <w:rFonts w:ascii="Arial" w:hAnsi="Arial" w:cs="Arial" w:eastAsia="Arial"/>
          <w:b w:val="0"/>
          <w:color w:val="1F2937"/>
          <w:sz w:val="24"/>
        </w:rPr>
        <w:t>Dissertation work carried out at</w:t>
      </w:r>
    </w:p>
    <w:p>
      <w:pPr>
        <w:spacing w:after="80" w:before="0" w:line="288" w:lineRule="auto"/>
        <w:jc w:val="center"/>
      </w:pPr>
      <w:r>
        <w:rPr>
          <w:rFonts w:ascii="Arial" w:hAnsi="Arial" w:cs="Arial" w:eastAsia="Arial"/>
          <w:b/>
          <w:color w:val="1F2937"/>
          <w:sz w:val="24"/>
        </w:rPr>
        <w:t>Alta Futuris Solutions, Pune</w:t>
      </w:r>
    </w:p>
    <w:p/>
    <w:p/>
    <w:p>
      <w:pPr>
        <w:spacing w:after="80" w:before="0" w:line="288" w:lineRule="auto"/>
        <w:jc w:val="center"/>
      </w:pPr>
      <w:r>
        <w:rPr>
          <w:rFonts w:ascii="Arial" w:hAnsi="Arial" w:cs="Arial" w:eastAsia="Arial"/>
          <w:b w:val="0"/>
          <w:color w:val="1F2937"/>
          <w:sz w:val="24"/>
        </w:rPr>
        <w:t>Submitted in partial fulfilment of the M.Tech. Artificial Intelligence and Machine Learning</w:t>
      </w:r>
    </w:p>
    <w:p>
      <w:pPr>
        <w:spacing w:after="80" w:before="0" w:line="288" w:lineRule="auto"/>
        <w:jc w:val="center"/>
      </w:pPr>
      <w:r>
        <w:rPr>
          <w:rFonts w:ascii="Arial" w:hAnsi="Arial" w:cs="Arial" w:eastAsia="Arial"/>
          <w:b w:val="0"/>
          <w:color w:val="1F2937"/>
          <w:sz w:val="24"/>
        </w:rPr>
        <w:t>degree programme</w:t>
      </w:r>
    </w:p>
    <w:p/>
    <w:p/>
    <w:p>
      <w:pPr>
        <w:spacing w:after="80" w:before="0" w:line="288" w:lineRule="auto"/>
        <w:jc w:val="center"/>
      </w:pPr>
      <w:r>
        <w:rPr>
          <w:rFonts w:ascii="Arial" w:hAnsi="Arial" w:cs="Arial" w:eastAsia="Arial"/>
          <w:b w:val="0"/>
          <w:color w:val="1F2937"/>
          <w:sz w:val="24"/>
        </w:rPr>
        <w:t>Under the Supervision of</w:t>
      </w:r>
    </w:p>
    <w:p>
      <w:pPr>
        <w:spacing w:after="80" w:before="0" w:line="288" w:lineRule="auto"/>
        <w:jc w:val="center"/>
      </w:pPr>
      <w:r>
        <w:rPr>
          <w:rFonts w:ascii="Arial" w:hAnsi="Arial" w:cs="Arial" w:eastAsia="Arial"/>
          <w:b/>
          <w:color w:val="1F2937"/>
          <w:sz w:val="28"/>
        </w:rPr>
        <w:t>[Insert Supervisor Name]</w:t>
      </w:r>
    </w:p>
    <w:p>
      <w:pPr>
        <w:spacing w:after="80" w:before="0" w:line="288" w:lineRule="auto"/>
        <w:jc w:val="center"/>
      </w:pPr>
      <w:r>
        <w:rPr>
          <w:rFonts w:ascii="Arial" w:hAnsi="Arial" w:cs="Arial" w:eastAsia="Arial"/>
          <w:b/>
          <w:color w:val="1F2937"/>
          <w:sz w:val="24"/>
        </w:rPr>
        <w:t>BITS Pilani — WILP Division, Pilani</w:t>
      </w:r>
    </w:p>
    <w:p/>
    <w:p/>
    <w:p/>
    <w:p>
      <w:pPr>
        <w:spacing w:after="80" w:before="0" w:line="288" w:lineRule="auto"/>
        <w:jc w:val="center"/>
      </w:pPr>
      <w:r>
        <w:rPr>
          <w:rFonts w:ascii="Arial" w:hAnsi="Arial" w:cs="Arial" w:eastAsia="Arial"/>
          <w:b/>
          <w:color w:val="1E3A8A"/>
          <w:sz w:val="28"/>
        </w:rPr>
        <w:t>BIRLA INSTITUTE OF TECHNOLOGY &amp; SCIENCE</w:t>
      </w:r>
    </w:p>
    <w:p>
      <w:pPr>
        <w:spacing w:after="80" w:before="0" w:line="288" w:lineRule="auto"/>
        <w:jc w:val="center"/>
      </w:pPr>
      <w:r>
        <w:rPr>
          <w:rFonts w:ascii="Arial" w:hAnsi="Arial" w:cs="Arial" w:eastAsia="Arial"/>
          <w:b/>
          <w:color w:val="1E3A8A"/>
          <w:sz w:val="28"/>
        </w:rPr>
        <w:t>PILANI (RAJASTHAN)</w:t>
      </w:r>
    </w:p>
    <w:p>
      <w:pPr>
        <w:spacing w:after="80" w:before="0" w:line="288" w:lineRule="auto"/>
        <w:jc w:val="center"/>
      </w:pPr>
      <w:r>
        <w:rPr>
          <w:rFonts w:ascii="Arial" w:hAnsi="Arial" w:cs="Arial" w:eastAsia="Arial"/>
          <w:b/>
          <w:color w:val="1F2937"/>
          <w:sz w:val="24"/>
        </w:rPr>
        <w:t>June 2026</w:t>
      </w:r>
    </w:p>
    <w:p>
      <w:r>
        <w:br w:type="page"/>
      </w:r>
    </w:p>
    <w:p>
      <w:pPr>
        <w:keepNext/>
        <w:spacing w:before="320" w:after="120"/>
      </w:pPr>
      <w:r>
        <w:rPr>
          <w:rFonts w:ascii="Arial" w:hAnsi="Arial" w:cs="Arial" w:eastAsia="Arial"/>
          <w:b/>
          <w:color w:val="1E3A8A"/>
          <w:sz w:val="28"/>
        </w:rPr>
        <w:t>ABSTRACT</w:t>
      </w:r>
    </w:p>
    <w:p>
      <w:pPr>
        <w:spacing w:line="312" w:lineRule="auto" w:after="160"/>
        <w:jc w:val="both"/>
      </w:pPr>
      <w:r>
        <w:rPr>
          <w:rFonts w:ascii="Arial" w:hAnsi="Arial" w:cs="Arial" w:eastAsia="Arial"/>
          <w:b w:val="0"/>
          <w:color w:val="1F2937"/>
          <w:sz w:val="24"/>
        </w:rPr>
        <w:t>Enterprise databases now exceed several hundred relations: an Odoo 17 deployment alone exposes around five hundred PostgreSQL tables spanning inventory, purchasing, sales, accounting and manufacturing. Business users expect to ask supply-chain questions in natural language and receive accurate, auditable results. However, on schemas of this scale the best public natural-language to SQL systems answer barely ten per cent of questions correctly (GPT-4o on the Spider 2.0 benchmark, ICLR 2025) and around thirty-nine per cent on BIRD-Ent. A 2024 CIDR position paper from Microsoft Research argues directly that enterprise NL-to-SQL is not solved, citing schema complexity, ambiguous business vocabulary, semantic drift, and weak benchmarks as the four open gaps.</w:t>
      </w:r>
    </w:p>
    <w:p>
      <w:pPr>
        <w:spacing w:line="312" w:lineRule="auto" w:after="160"/>
        <w:jc w:val="both"/>
      </w:pPr>
      <w:r>
        <w:rPr>
          <w:rFonts w:ascii="Arial" w:hAnsi="Arial" w:cs="Arial" w:eastAsia="Arial"/>
          <w:b w:val="0"/>
          <w:color w:val="1F2937"/>
          <w:sz w:val="24"/>
        </w:rPr>
        <w:t>This dissertation closes that gap for supply-chain workloads. Existing multi-agent text-to-SQL systems (MAC-SQL, MARS-SQL, SQL-of-Thought, CHASE-SQL) decompose by SQL pipeline stage (schema link, decompose, generate, validate, refine). This work decomposes by business domain instead: four LLM-driven specialist agents (Inventory, Logistics, Finance, Demand) each own a slice of the schema, a domain glossary, and curated few-shot examples. A Composer agent merges sub-queries into a single PostgreSQL statement using sqlglot-based abstract-syntax-tree manipulation, a Compliance processor injects row-level-security predicates at the correct AST scope (per SELECT), and a three-stage validator (syntax — execution — business rules) gates the output. A deterministic temporal-reasoning module maps natural-language phrases such as ‘last quarter’, ‘YoY’, ‘rolling 30-day’ and ‘fiscal Q3’ to exact ISO date predicates and window-function hints, without relying on prompt engineering.</w:t>
      </w:r>
    </w:p>
    <w:p>
      <w:pPr>
        <w:spacing w:line="312" w:lineRule="auto" w:after="160"/>
        <w:jc w:val="both"/>
      </w:pPr>
      <w:r>
        <w:rPr>
          <w:rFonts w:ascii="Arial" w:hAnsi="Arial" w:cs="Arial" w:eastAsia="Arial"/>
          <w:b w:val="0"/>
          <w:color w:val="1F2937"/>
          <w:sz w:val="24"/>
        </w:rPr>
        <w:t>As of mid-semester, phases one to seven of a ten-phase plan are complete — approximately five weeks ahead of the published roadmap. The system runs end-to-end against a live 498-table Odoo PostgreSQL database, supports four-domain agent routing, CTE-based cross-domain composition, AST-scoped Compliance, deterministic temporal parsing, ambiguity resolution with structured clarification questions, and multi-turn carry-over across refinement, comparison, and follow-up dialogue patterns. Two hundred and ten unit tests achieve eighty-seven per cent branch coverage. A representative four-query live smoke run (single-domain inventory, single-domain finance, single-domain demand, and cross-domain revenue-versus-inventory) produces SQL that passes Postgres EXPLAIN in all four cases for a total LLM cost of approximately two cents (Anthropic Claude Haiku 4.5 + OpenAI gpt-4o-mini).</w:t>
      </w:r>
    </w:p>
    <w:p>
      <w:pPr>
        <w:spacing w:line="312" w:lineRule="auto" w:after="160"/>
        <w:jc w:val="both"/>
      </w:pPr>
      <w:r>
        <w:rPr>
          <w:rFonts w:ascii="Arial" w:hAnsi="Arial" w:cs="Arial" w:eastAsia="Arial"/>
          <w:b w:val="0"/>
          <w:color w:val="1F2937"/>
          <w:sz w:val="24"/>
        </w:rPr>
        <w:t>The remaining three phases construct the SCM-SQL benchmark (500-plus annotated question-SQL pairs across six complexity levels grounded in the Odoo schema and the DataCo dataset of 180,000 orders), build a Next.js chat frontend, and run the full evaluation against MAC-SQL, MARS-SQL and CHASE-SQL baselines for the final dissertation. The publication target is ACL / EMNLP / COLING / VLDB. All software is open-source, runs from a single Docker Compose file, and uses open-weights or low-cost API models exclusively.</w:t>
      </w:r>
    </w:p>
    <w:p/>
    <w:p/>
    <w:tbl>
      <w:tblPr>
        <w:tblW w:type="auto" w:w="0"/>
        <w:jc w:val="left"/>
        <w:tblLook w:firstColumn="1" w:firstRow="1" w:lastColumn="0" w:lastRow="0" w:noHBand="0" w:noVBand="1" w:val="04A0"/>
      </w:tblPr>
      <w:tblGrid>
        <w:gridCol w:w="4706"/>
        <w:gridCol w:w="4706"/>
      </w:tblGrid>
      <w:tr>
        <w:tc>
          <w:tcPr>
            <w:tcW w:type="dxa" w:w="4706"/>
            <w:vAlign w:val="center"/>
          </w:tcPr>
          <w:p>
            <w:pPr>
              <w:spacing w:after="40" w:before="40"/>
              <w:jc w:val="left"/>
            </w:pPr>
            <w:r/>
            <w:r>
              <w:rPr>
                <w:rFonts w:ascii="Arial" w:hAnsi="Arial" w:cs="Arial" w:eastAsia="Arial"/>
                <w:b/>
                <w:color w:val="1F2937"/>
                <w:sz w:val="24"/>
              </w:rPr>
              <w:t>Signature of the Student</w:t>
            </w:r>
          </w:p>
        </w:tc>
        <w:tc>
          <w:tcPr>
            <w:tcW w:type="dxa" w:w="4706"/>
            <w:vAlign w:val="center"/>
          </w:tcPr>
          <w:p>
            <w:pPr>
              <w:spacing w:after="40" w:before="40"/>
              <w:jc w:val="left"/>
            </w:pPr>
            <w:r/>
            <w:r>
              <w:rPr>
                <w:rFonts w:ascii="Arial" w:hAnsi="Arial" w:cs="Arial" w:eastAsia="Arial"/>
                <w:b/>
                <w:color w:val="1F2937"/>
                <w:sz w:val="24"/>
              </w:rPr>
              <w:t>Signature of the Supervisor</w:t>
            </w:r>
          </w:p>
        </w:tc>
      </w:tr>
      <w:tr>
        <w:tc>
          <w:tcPr>
            <w:tcW w:type="dxa" w:w="4706"/>
            <w:vAlign w:val="center"/>
          </w:tcPr>
          <w:p>
            <w:pPr>
              <w:spacing w:after="40" w:before="40"/>
              <w:jc w:val="left"/>
            </w:pPr>
            <w:r/>
            <w:r>
              <w:rPr>
                <w:rFonts w:ascii="Arial" w:hAnsi="Arial" w:cs="Arial" w:eastAsia="Arial"/>
                <w:b w:val="0"/>
                <w:color w:val="1F2937"/>
                <w:sz w:val="24"/>
              </w:rPr>
              <w:t>Name:  Aniruddha Prakash Kawarase</w:t>
            </w:r>
          </w:p>
        </w:tc>
        <w:tc>
          <w:tcPr>
            <w:tcW w:type="dxa" w:w="4706"/>
            <w:vAlign w:val="center"/>
          </w:tcPr>
          <w:p>
            <w:pPr>
              <w:spacing w:after="40" w:before="40"/>
              <w:jc w:val="left"/>
            </w:pPr>
            <w:r/>
            <w:r>
              <w:rPr>
                <w:rFonts w:ascii="Arial" w:hAnsi="Arial" w:cs="Arial" w:eastAsia="Arial"/>
                <w:b w:val="0"/>
                <w:color w:val="1F2937"/>
                <w:sz w:val="24"/>
              </w:rPr>
              <w:t>Name:  [Insert Supervisor Name]</w:t>
            </w:r>
          </w:p>
        </w:tc>
      </w:tr>
      <w:tr>
        <w:tc>
          <w:tcPr>
            <w:tcW w:type="dxa" w:w="4706"/>
            <w:vAlign w:val="center"/>
          </w:tcPr>
          <w:p>
            <w:pPr>
              <w:spacing w:after="40" w:before="40"/>
              <w:jc w:val="left"/>
            </w:pPr>
            <w:r/>
            <w:r>
              <w:rPr>
                <w:rFonts w:ascii="Arial" w:hAnsi="Arial" w:cs="Arial" w:eastAsia="Arial"/>
                <w:b w:val="0"/>
                <w:color w:val="1F2937"/>
                <w:sz w:val="24"/>
              </w:rPr>
              <w:t>Date:</w:t>
            </w:r>
          </w:p>
        </w:tc>
        <w:tc>
          <w:tcPr>
            <w:tcW w:type="dxa" w:w="4706"/>
            <w:vAlign w:val="center"/>
          </w:tcPr>
          <w:p>
            <w:pPr>
              <w:spacing w:after="40" w:before="40"/>
              <w:jc w:val="left"/>
            </w:pPr>
            <w:r/>
            <w:r>
              <w:rPr>
                <w:rFonts w:ascii="Arial" w:hAnsi="Arial" w:cs="Arial" w:eastAsia="Arial"/>
                <w:b w:val="0"/>
                <w:color w:val="1F2937"/>
                <w:sz w:val="24"/>
              </w:rPr>
              <w:t>Date:</w:t>
            </w:r>
          </w:p>
        </w:tc>
      </w:tr>
      <w:tr>
        <w:tc>
          <w:tcPr>
            <w:tcW w:type="dxa" w:w="4706"/>
            <w:vAlign w:val="center"/>
          </w:tcPr>
          <w:p>
            <w:pPr>
              <w:spacing w:after="40" w:before="40"/>
              <w:jc w:val="left"/>
            </w:pPr>
            <w:r/>
            <w:r>
              <w:rPr>
                <w:rFonts w:ascii="Arial" w:hAnsi="Arial" w:cs="Arial" w:eastAsia="Arial"/>
                <w:b w:val="0"/>
                <w:color w:val="1F2937"/>
                <w:sz w:val="24"/>
              </w:rPr>
              <w:t>Place:</w:t>
            </w:r>
          </w:p>
        </w:tc>
        <w:tc>
          <w:tcPr>
            <w:tcW w:type="dxa" w:w="4706"/>
            <w:vAlign w:val="center"/>
          </w:tcPr>
          <w:p>
            <w:pPr>
              <w:spacing w:after="40" w:before="40"/>
              <w:jc w:val="left"/>
            </w:pPr>
            <w:r/>
            <w:r>
              <w:rPr>
                <w:rFonts w:ascii="Arial" w:hAnsi="Arial" w:cs="Arial" w:eastAsia="Arial"/>
                <w:b w:val="0"/>
                <w:color w:val="1F2937"/>
                <w:sz w:val="24"/>
              </w:rPr>
              <w:t>Place:</w:t>
            </w:r>
          </w:p>
        </w:tc>
      </w:tr>
    </w:tbl>
    <w:p>
      <w:r>
        <w:br w:type="page"/>
      </w:r>
    </w:p>
    <w:p>
      <w:pPr>
        <w:keepNext/>
        <w:spacing w:before="320" w:after="120"/>
      </w:pPr>
      <w:r>
        <w:rPr>
          <w:rFonts w:ascii="Arial" w:hAnsi="Arial" w:cs="Arial" w:eastAsia="Arial"/>
          <w:b/>
          <w:color w:val="1E3A8A"/>
          <w:sz w:val="28"/>
        </w:rPr>
        <w:t>Contents</w:t>
      </w:r>
    </w:p>
    <w:p>
      <w:pPr>
        <w:spacing w:after="120"/>
      </w:pPr>
      <w:r>
        <w:rPr>
          <w:rFonts w:ascii="Arial" w:hAnsi="Arial" w:cs="Arial" w:eastAsia="Arial"/>
          <w:b w:val="0"/>
          <w:color w:val="1F2937"/>
          <w:sz w:val="24"/>
        </w:rPr>
        <w:t>1.  System Modules</w:t>
      </w:r>
      <w:r>
        <w:rPr>
          <w:rFonts w:ascii="Arial" w:hAnsi="Arial" w:cs="Arial" w:eastAsia="Arial"/>
          <w:b w:val="0"/>
          <w:color w:val="1F2937"/>
          <w:sz w:val="24"/>
        </w:rPr>
        <w:tab/>
        <w:t>5</w:t>
      </w:r>
    </w:p>
    <w:p>
      <w:pPr>
        <w:spacing w:after="120"/>
      </w:pPr>
      <w:r>
        <w:rPr>
          <w:rFonts w:ascii="Arial" w:hAnsi="Arial" w:cs="Arial" w:eastAsia="Arial"/>
          <w:b w:val="0"/>
          <w:color w:val="1F2937"/>
          <w:sz w:val="24"/>
        </w:rPr>
        <w:t>2.  Functional Block Diagram and Description</w:t>
      </w:r>
      <w:r>
        <w:rPr>
          <w:rFonts w:ascii="Arial" w:hAnsi="Arial" w:cs="Arial" w:eastAsia="Arial"/>
          <w:b w:val="0"/>
          <w:color w:val="1F2937"/>
          <w:sz w:val="24"/>
        </w:rPr>
        <w:tab/>
        <w:t>7</w:t>
      </w:r>
    </w:p>
    <w:p>
      <w:pPr>
        <w:spacing w:after="120"/>
      </w:pPr>
      <w:r>
        <w:rPr>
          <w:rFonts w:ascii="Arial" w:hAnsi="Arial" w:cs="Arial" w:eastAsia="Arial"/>
          <w:b w:val="0"/>
          <w:color w:val="1F2937"/>
          <w:sz w:val="24"/>
        </w:rPr>
        <w:t>3.  Major Technical Specifications</w:t>
      </w:r>
      <w:r>
        <w:rPr>
          <w:rFonts w:ascii="Arial" w:hAnsi="Arial" w:cs="Arial" w:eastAsia="Arial"/>
          <w:b w:val="0"/>
          <w:color w:val="1F2937"/>
          <w:sz w:val="24"/>
        </w:rPr>
        <w:tab/>
        <w:t>9</w:t>
      </w:r>
    </w:p>
    <w:p>
      <w:pPr>
        <w:spacing w:after="120"/>
      </w:pPr>
      <w:r>
        <w:rPr>
          <w:rFonts w:ascii="Arial" w:hAnsi="Arial" w:cs="Arial" w:eastAsia="Arial"/>
          <w:b w:val="0"/>
          <w:color w:val="1F2937"/>
          <w:sz w:val="24"/>
        </w:rPr>
        <w:t>4.  Design Considerations</w:t>
      </w:r>
      <w:r>
        <w:rPr>
          <w:rFonts w:ascii="Arial" w:hAnsi="Arial" w:cs="Arial" w:eastAsia="Arial"/>
          <w:b w:val="0"/>
          <w:color w:val="1F2937"/>
          <w:sz w:val="24"/>
        </w:rPr>
        <w:tab/>
        <w:t>10</w:t>
      </w:r>
    </w:p>
    <w:p>
      <w:pPr>
        <w:spacing w:after="120"/>
      </w:pPr>
      <w:r>
        <w:rPr>
          <w:rFonts w:ascii="Arial" w:hAnsi="Arial" w:cs="Arial" w:eastAsia="Arial"/>
          <w:b w:val="0"/>
          <w:color w:val="1F2937"/>
          <w:sz w:val="24"/>
        </w:rPr>
        <w:t>5.  Future Plan</w:t>
      </w:r>
      <w:r>
        <w:rPr>
          <w:rFonts w:ascii="Arial" w:hAnsi="Arial" w:cs="Arial" w:eastAsia="Arial"/>
          <w:b w:val="0"/>
          <w:color w:val="1F2937"/>
          <w:sz w:val="24"/>
        </w:rPr>
        <w:tab/>
        <w:t>11</w:t>
      </w:r>
    </w:p>
    <w:p>
      <w:pPr>
        <w:spacing w:after="120"/>
      </w:pPr>
      <w:r>
        <w:rPr>
          <w:rFonts w:ascii="Arial" w:hAnsi="Arial" w:cs="Arial" w:eastAsia="Arial"/>
          <w:b w:val="0"/>
          <w:color w:val="1F2937"/>
          <w:sz w:val="24"/>
        </w:rPr>
        <w:t>6.  Abbreviations</w:t>
      </w:r>
      <w:r>
        <w:rPr>
          <w:rFonts w:ascii="Arial" w:hAnsi="Arial" w:cs="Arial" w:eastAsia="Arial"/>
          <w:b w:val="0"/>
          <w:color w:val="1F2937"/>
          <w:sz w:val="24"/>
        </w:rPr>
        <w:tab/>
        <w:t>12</w:t>
      </w:r>
    </w:p>
    <w:p/>
    <w:p>
      <w:pPr>
        <w:spacing w:after="80" w:before="0" w:line="288" w:lineRule="auto"/>
        <w:jc w:val="left"/>
      </w:pPr>
      <w:r>
        <w:rPr>
          <w:rFonts w:ascii="Arial" w:hAnsi="Arial" w:cs="Arial" w:eastAsia="Arial"/>
          <w:b w:val="0"/>
          <w:color w:val="1F2937"/>
          <w:sz w:val="24"/>
        </w:rPr>
        <w:t>Figure 1.  System Architecture (5-layer pipeline)</w:t>
        <w:tab/>
        <w:t>7</w:t>
      </w:r>
    </w:p>
    <w:p>
      <w:pPr>
        <w:spacing w:after="80" w:before="0" w:line="288" w:lineRule="auto"/>
        <w:jc w:val="left"/>
      </w:pPr>
      <w:r>
        <w:rPr>
          <w:rFonts w:ascii="Arial" w:hAnsi="Arial" w:cs="Arial" w:eastAsia="Arial"/>
          <w:b w:val="0"/>
          <w:color w:val="1F2937"/>
          <w:sz w:val="24"/>
        </w:rPr>
        <w:t>Figure 2.  Multi-turn dialogue carry-over</w:t>
        <w:tab/>
        <w:t>8</w:t>
      </w:r>
    </w:p>
    <w:p>
      <w:pPr>
        <w:spacing w:after="80" w:before="0" w:line="288" w:lineRule="auto"/>
        <w:jc w:val="left"/>
      </w:pPr>
      <w:r>
        <w:rPr>
          <w:rFonts w:ascii="Arial" w:hAnsi="Arial" w:cs="Arial" w:eastAsia="Arial"/>
          <w:b w:val="0"/>
          <w:color w:val="1F2937"/>
          <w:sz w:val="24"/>
        </w:rPr>
        <w:t>Table 1.  Major Technical Specifications</w:t>
        <w:tab/>
        <w:t>9</w:t>
      </w:r>
    </w:p>
    <w:p>
      <w:pPr>
        <w:spacing w:after="80" w:before="0" w:line="288" w:lineRule="auto"/>
        <w:jc w:val="left"/>
      </w:pPr>
      <w:r>
        <w:rPr>
          <w:rFonts w:ascii="Arial" w:hAnsi="Arial" w:cs="Arial" w:eastAsia="Arial"/>
          <w:b w:val="0"/>
          <w:color w:val="1F2937"/>
          <w:sz w:val="24"/>
        </w:rPr>
        <w:t>Table 2.  Future Plan — Phases and Status</w:t>
        <w:tab/>
        <w:t>11</w:t>
      </w:r>
    </w:p>
    <w:p>
      <w:pPr>
        <w:spacing w:after="80" w:before="0" w:line="288" w:lineRule="auto"/>
        <w:jc w:val="left"/>
      </w:pPr>
      <w:r>
        <w:rPr>
          <w:rFonts w:ascii="Arial" w:hAnsi="Arial" w:cs="Arial" w:eastAsia="Arial"/>
          <w:b w:val="0"/>
          <w:color w:val="1F2937"/>
          <w:sz w:val="24"/>
        </w:rPr>
        <w:t>Table 3.  Abbreviations</w:t>
        <w:tab/>
        <w:t>12</w:t>
      </w:r>
    </w:p>
    <w:p>
      <w:r>
        <w:br w:type="page"/>
      </w:r>
    </w:p>
    <w:p>
      <w:pPr>
        <w:keepNext/>
        <w:spacing w:before="320" w:after="120"/>
      </w:pPr>
      <w:r>
        <w:rPr>
          <w:rFonts w:ascii="Arial" w:hAnsi="Arial" w:cs="Arial" w:eastAsia="Arial"/>
          <w:b/>
          <w:color w:val="1E3A8A"/>
          <w:sz w:val="28"/>
        </w:rPr>
        <w:t>1.  System Modules</w:t>
      </w:r>
    </w:p>
    <w:p>
      <w:pPr>
        <w:spacing w:after="200" w:before="0" w:line="288" w:lineRule="auto"/>
        <w:jc w:val="left"/>
      </w:pPr>
      <w:r>
        <w:rPr>
          <w:rFonts w:ascii="Arial" w:hAnsi="Arial" w:cs="Arial" w:eastAsia="Arial"/>
          <w:b w:val="0"/>
          <w:color w:val="1F2937"/>
          <w:sz w:val="24"/>
        </w:rPr>
        <w:t>The system is organised as five sequential layers plus three supporting infrastructure modules. Each layer is independently testable; failures are routed back to the originating agent rather than retried globally. The modules are summarised below and described individually.</w:t>
      </w:r>
    </w:p>
    <w:p>
      <w:pPr>
        <w:spacing w:after="80" w:before="0" w:line="288" w:lineRule="auto"/>
        <w:jc w:val="left"/>
      </w:pPr>
      <w:r>
        <w:rPr>
          <w:rFonts w:ascii="Arial" w:hAnsi="Arial" w:cs="Arial" w:eastAsia="Arial"/>
          <w:b/>
          <w:color w:val="1E3A8A"/>
          <w:sz w:val="28"/>
        </w:rPr>
        <w:t>Major Modules</w:t>
      </w:r>
    </w:p>
    <w:p>
      <w:pPr>
        <w:pStyle w:val="ListBullet"/>
        <w:spacing w:after="60"/>
      </w:pPr>
      <w:r>
        <w:rPr>
          <w:rFonts w:ascii="Arial" w:hAnsi="Arial" w:cs="Arial" w:eastAsia="Arial"/>
          <w:b w:val="0"/>
          <w:color w:val="1F2937"/>
          <w:sz w:val="24"/>
        </w:rPr>
        <w:t>(a)  Query Understanding Layer — Router, Temporal Parser, Ambiguity Resolver, Reference Detector</w:t>
      </w:r>
    </w:p>
    <w:p>
      <w:pPr>
        <w:pStyle w:val="ListBullet"/>
        <w:spacing w:after="60"/>
      </w:pPr>
      <w:r>
        <w:rPr>
          <w:rFonts w:ascii="Arial" w:hAnsi="Arial" w:cs="Arial" w:eastAsia="Arial"/>
          <w:b w:val="0"/>
          <w:color w:val="1F2937"/>
          <w:sz w:val="24"/>
        </w:rPr>
        <w:t>(b)  Domain-Specialist Agents — Inventory, Logistics, Finance, Demand</w:t>
      </w:r>
    </w:p>
    <w:p>
      <w:pPr>
        <w:pStyle w:val="ListBullet"/>
        <w:spacing w:after="60"/>
      </w:pPr>
      <w:r>
        <w:rPr>
          <w:rFonts w:ascii="Arial" w:hAnsi="Arial" w:cs="Arial" w:eastAsia="Arial"/>
          <w:b w:val="0"/>
          <w:color w:val="1F2937"/>
          <w:sz w:val="24"/>
        </w:rPr>
        <w:t>(c)  Composer — CTE-based fragment merging with sqlglot AST</w:t>
      </w:r>
    </w:p>
    <w:p>
      <w:pPr>
        <w:pStyle w:val="ListBullet"/>
        <w:spacing w:after="60"/>
      </w:pPr>
      <w:r>
        <w:rPr>
          <w:rFonts w:ascii="Arial" w:hAnsi="Arial" w:cs="Arial" w:eastAsia="Arial"/>
          <w:b w:val="0"/>
          <w:color w:val="1F2937"/>
          <w:sz w:val="24"/>
        </w:rPr>
        <w:t>(d)  Compliance Processor — per-SELECT RBAC predicate injection</w:t>
      </w:r>
    </w:p>
    <w:p>
      <w:pPr>
        <w:pStyle w:val="ListBullet"/>
        <w:spacing w:after="60"/>
      </w:pPr>
      <w:r>
        <w:rPr>
          <w:rFonts w:ascii="Arial" w:hAnsi="Arial" w:cs="Arial" w:eastAsia="Arial"/>
          <w:b w:val="0"/>
          <w:color w:val="1F2937"/>
          <w:sz w:val="24"/>
        </w:rPr>
        <w:t>(e)  Validator Pipeline — Syntax  →  Execution  →  Business rules</w:t>
      </w:r>
    </w:p>
    <w:p>
      <w:pPr>
        <w:spacing w:after="80" w:before="200" w:line="288" w:lineRule="auto"/>
        <w:jc w:val="left"/>
      </w:pPr>
      <w:r>
        <w:rPr>
          <w:rFonts w:ascii="Arial" w:hAnsi="Arial" w:cs="Arial" w:eastAsia="Arial"/>
          <w:b/>
          <w:color w:val="1E3A8A"/>
          <w:sz w:val="28"/>
        </w:rPr>
        <w:t>Supporting Modules</w:t>
      </w:r>
    </w:p>
    <w:p>
      <w:pPr>
        <w:pStyle w:val="ListBullet"/>
        <w:spacing w:after="60"/>
      </w:pPr>
      <w:r>
        <w:rPr>
          <w:rFonts w:ascii="Arial" w:hAnsi="Arial" w:cs="Arial" w:eastAsia="Arial"/>
          <w:b w:val="0"/>
          <w:color w:val="1F2937"/>
          <w:sz w:val="24"/>
        </w:rPr>
        <w:t>(f)  Schema Intelligence — 498-table Odoo introspection cache, domain mapping, join-graph, business glossary, BM25 retrieval</w:t>
      </w:r>
    </w:p>
    <w:p>
      <w:pPr>
        <w:pStyle w:val="ListBullet"/>
        <w:spacing w:after="60"/>
      </w:pPr>
      <w:r>
        <w:rPr>
          <w:rFonts w:ascii="Arial" w:hAnsi="Arial" w:cs="Arial" w:eastAsia="Arial"/>
          <w:b w:val="0"/>
          <w:color w:val="1F2937"/>
          <w:sz w:val="24"/>
        </w:rPr>
        <w:t>(g)  Conversation Memory — sliding-window turn store with rolling summary of older turns</w:t>
      </w:r>
    </w:p>
    <w:p>
      <w:pPr>
        <w:pStyle w:val="ListBullet"/>
        <w:spacing w:after="60"/>
      </w:pPr>
      <w:r>
        <w:rPr>
          <w:rFonts w:ascii="Arial" w:hAnsi="Arial" w:cs="Arial" w:eastAsia="Arial"/>
          <w:b w:val="0"/>
          <w:color w:val="1F2937"/>
          <w:sz w:val="24"/>
        </w:rPr>
        <w:t>(h)  LLM Provider Abstraction — single interface across Anthropic, OpenAI, OpenRouter and local Ollama back-ends</w:t>
      </w:r>
    </w:p>
    <w:p>
      <w:pPr>
        <w:spacing w:after="160" w:before="200" w:line="288" w:lineRule="auto"/>
        <w:jc w:val="left"/>
      </w:pPr>
      <w:r>
        <w:rPr>
          <w:rFonts w:ascii="Arial" w:hAnsi="Arial" w:cs="Arial" w:eastAsia="Arial"/>
          <w:b w:val="0"/>
          <w:color w:val="1F2937"/>
          <w:sz w:val="24"/>
        </w:rPr>
        <w:t>Module descriptions follow.</w:t>
      </w:r>
    </w:p>
    <w:p>
      <w:pPr>
        <w:spacing w:after="60" w:before="200" w:line="288" w:lineRule="auto"/>
        <w:jc w:val="left"/>
      </w:pPr>
      <w:r>
        <w:rPr>
          <w:rFonts w:ascii="Arial" w:hAnsi="Arial" w:cs="Arial" w:eastAsia="Arial"/>
          <w:b/>
          <w:color w:val="1E3A8A"/>
          <w:sz w:val="28"/>
        </w:rPr>
        <w:t>(a)  Query Understanding Layer</w:t>
      </w:r>
    </w:p>
    <w:p>
      <w:pPr>
        <w:spacing w:line="300" w:lineRule="auto" w:after="80"/>
        <w:jc w:val="both"/>
      </w:pPr>
      <w:r>
        <w:rPr>
          <w:rFonts w:ascii="Arial" w:hAnsi="Arial" w:cs="Arial" w:eastAsia="Arial"/>
          <w:b w:val="0"/>
          <w:color w:val="1F2937"/>
          <w:sz w:val="24"/>
        </w:rPr>
        <w:t>Four sub-modules execute before any SQL is generated. The Router is an LLM-driven domain classifier that returns one or more business-domain labels plus a rewritten sub-question per domain. The Temporal Parser is a deterministic Python module that recognises twenty-plus temporal patterns (absolute, relative, rolling, comparison, fiscal) and emits concrete ISO date ranges with optional window-function hints. The Ambiguity Resolver scores glossary-defined ambiguous terms (for example ‘lead time’, ‘cost’, ‘sales’) and either auto-resolves them using prior conversation context or produces a structured clarification question. The Reference Detector classifies follow-up queries as new-topic, refinement, comparison or follow-up — enabling the orchestrator to inherit domains from the prior turn rather than treating a fragment such as ‘only the top 5’ as a fresh query.</w:t>
      </w:r>
    </w:p>
    <w:p>
      <w:pPr>
        <w:spacing w:after="60" w:before="200" w:line="288" w:lineRule="auto"/>
        <w:jc w:val="left"/>
      </w:pPr>
      <w:r>
        <w:rPr>
          <w:rFonts w:ascii="Arial" w:hAnsi="Arial" w:cs="Arial" w:eastAsia="Arial"/>
          <w:b/>
          <w:color w:val="1E3A8A"/>
          <w:sz w:val="28"/>
        </w:rPr>
        <w:t>(b)  Domain-Specialist Agents</w:t>
      </w:r>
    </w:p>
    <w:p>
      <w:pPr>
        <w:spacing w:line="300" w:lineRule="auto" w:after="80"/>
        <w:jc w:val="both"/>
      </w:pPr>
      <w:r>
        <w:rPr>
          <w:rFonts w:ascii="Arial" w:hAnsi="Arial" w:cs="Arial" w:eastAsia="Arial"/>
          <w:b w:val="0"/>
          <w:color w:val="1F2937"/>
          <w:sz w:val="24"/>
        </w:rPr>
        <w:t>Four LLM-driven agents (Inventory, Logistics, Finance, Demand) share a single Python class parameterised by domain. Each agent receives a schema slice (its visible-tables set), a glossary scoped to its domain, six curated few-shot examples, and the conversational context block. The agent produces a single PostgreSQL statement or the literal OUT_OF_DOMAIN sentinel. A regex-level allow-list check guarantees that tables outside the agent’s schema slice are rejected before composition.</w:t>
      </w:r>
    </w:p>
    <w:p>
      <w:pPr>
        <w:spacing w:after="60" w:before="200" w:line="288" w:lineRule="auto"/>
        <w:jc w:val="left"/>
      </w:pPr>
      <w:r>
        <w:rPr>
          <w:rFonts w:ascii="Arial" w:hAnsi="Arial" w:cs="Arial" w:eastAsia="Arial"/>
          <w:b/>
          <w:color w:val="1E3A8A"/>
          <w:sz w:val="28"/>
        </w:rPr>
        <w:t>(c)  Composer</w:t>
      </w:r>
    </w:p>
    <w:p>
      <w:pPr>
        <w:spacing w:line="300" w:lineRule="auto" w:after="80"/>
        <w:jc w:val="both"/>
      </w:pPr>
      <w:r>
        <w:rPr>
          <w:rFonts w:ascii="Arial" w:hAnsi="Arial" w:cs="Arial" w:eastAsia="Arial"/>
          <w:b w:val="0"/>
          <w:color w:val="1F2937"/>
          <w:sz w:val="24"/>
        </w:rPr>
        <w:t>A deterministic sqlglot-based AST processor. With a single fragment it passes through; with multiple fragments it wraps each in a named CTE and joins them. The join strategy is INNER JOIN on a discovered foreign-key column when both CTEs actually project that column in their SELECT list, and CROSS JOIN otherwise — producing a single-row dual-period summary that the downstream RBAC injector can scope correctly.</w:t>
      </w:r>
    </w:p>
    <w:p>
      <w:pPr>
        <w:spacing w:after="60" w:before="200" w:line="288" w:lineRule="auto"/>
        <w:jc w:val="left"/>
      </w:pPr>
      <w:r>
        <w:rPr>
          <w:rFonts w:ascii="Arial" w:hAnsi="Arial" w:cs="Arial" w:eastAsia="Arial"/>
          <w:b/>
          <w:color w:val="1E3A8A"/>
          <w:sz w:val="28"/>
        </w:rPr>
        <w:t>(d)  Compliance Processor</w:t>
      </w:r>
    </w:p>
    <w:p>
      <w:pPr>
        <w:spacing w:line="300" w:lineRule="auto" w:after="80"/>
        <w:jc w:val="both"/>
      </w:pPr>
      <w:r>
        <w:rPr>
          <w:rFonts w:ascii="Arial" w:hAnsi="Arial" w:cs="Arial" w:eastAsia="Arial"/>
          <w:b w:val="0"/>
          <w:color w:val="1F2937"/>
          <w:sz w:val="24"/>
        </w:rPr>
        <w:t>An sqlglot-AST-based post-composition module. It walks the composed query, finds every SELECT scope, and injects company_id IN (…) and warehouse_id IN (…) predicates into the WHERE clause of that specific scope. The critical correctness property is that a predicate added for a table referenced inside a CTE stays inside the CTE — it never leaks to the outer query.</w:t>
      </w:r>
    </w:p>
    <w:p>
      <w:pPr>
        <w:spacing w:after="60" w:before="200" w:line="288" w:lineRule="auto"/>
        <w:jc w:val="left"/>
      </w:pPr>
      <w:r>
        <w:rPr>
          <w:rFonts w:ascii="Arial" w:hAnsi="Arial" w:cs="Arial" w:eastAsia="Arial"/>
          <w:b/>
          <w:color w:val="1E3A8A"/>
          <w:sz w:val="28"/>
        </w:rPr>
        <w:t>(e)  Validator Pipeline</w:t>
      </w:r>
    </w:p>
    <w:p>
      <w:pPr>
        <w:spacing w:line="300" w:lineRule="auto" w:after="80"/>
        <w:jc w:val="both"/>
      </w:pPr>
      <w:r>
        <w:rPr>
          <w:rFonts w:ascii="Arial" w:hAnsi="Arial" w:cs="Arial" w:eastAsia="Arial"/>
          <w:b w:val="0"/>
          <w:color w:val="1F2937"/>
          <w:sz w:val="24"/>
        </w:rPr>
        <w:t>Three sequential stages: (i) syntax via sqlglot — parse, reject any DDL or DML, enforce the union allow-list of active agents’ visible tables, exclude CTE-defined aliases; (ii) execution via PostgreSQL EXPLAIN with statement_timeout; (iii) business-rule sanity checks (empty result when one was expected, negative quantities, implausible monetary values). Failures route back to the originating agent for re-prompting with the prior error string; the loop is capped at three attempts.</w:t>
      </w:r>
    </w:p>
    <w:p>
      <w:r>
        <w:br w:type="page"/>
      </w:r>
    </w:p>
    <w:p>
      <w:pPr>
        <w:keepNext/>
        <w:spacing w:before="320" w:after="120"/>
      </w:pPr>
      <w:r>
        <w:rPr>
          <w:rFonts w:ascii="Arial" w:hAnsi="Arial" w:cs="Arial" w:eastAsia="Arial"/>
          <w:b/>
          <w:color w:val="1E3A8A"/>
          <w:sz w:val="28"/>
        </w:rPr>
        <w:t>2.  Functional Block Diagram and Description</w:t>
      </w:r>
    </w:p>
    <w:p>
      <w:pPr>
        <w:spacing w:after="200" w:before="0" w:line="288" w:lineRule="auto"/>
        <w:jc w:val="left"/>
      </w:pPr>
      <w:r>
        <w:rPr>
          <w:rFonts w:ascii="Arial" w:hAnsi="Arial" w:cs="Arial" w:eastAsia="Arial"/>
          <w:b w:val="0"/>
          <w:color w:val="1F2937"/>
          <w:sz w:val="24"/>
        </w:rPr>
        <w:t>Figure 1 (below) shows the data path for one user query. A query enters the Query Understanding layer, where the Router selects one or more domains, the Temporal Parser attaches deterministic ISO date ranges to the state, and the Ambiguity Resolver may short-circuit with a clarification question. Each selected domain agent is invoked in parallel and emits a SQL fragment. The Composer wraps the fragments in named CTEs and joins them. The Compliance Processor injects row-level security predicates at the correct scope. The Validator runs three checks; on failure, the orchestrator returns control to the originating agent with the prior error and the cycle repeats up to three times. Successful queries are persisted to Conversation Memory so that subsequent turns can resolve pronouns and inherit domains.</w:t>
      </w:r>
    </w:p>
    <w:p>
      <w:pPr>
        <w:spacing w:after="160" w:before="0" w:line="288" w:lineRule="auto"/>
        <w:jc w:val="center"/>
      </w:pPr>
      <w:r>
        <w:rPr>
          <w:rFonts w:ascii="Arial" w:hAnsi="Arial" w:cs="Arial" w:eastAsia="Arial"/>
          <w:b/>
          <w:color w:val="1F2937"/>
          <w:sz w:val="24"/>
        </w:rPr>
        <w:t>Figure 1.  System Architecture (5-layer pipeline)</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Arial" w:hAnsi="Arial" w:cs="Arial" w:eastAsia="Arial"/>
                <w:b/>
                <w:color w:val="FFFFFF"/>
                <w:sz w:val="28"/>
              </w:rPr>
              <w:t>1</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color w:val="1E3A8A"/>
                <w:sz w:val="24"/>
              </w:rPr>
              <w:t>Query Understanding</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val="0"/>
                <w:color w:val="1F2937"/>
                <w:sz w:val="24"/>
              </w:rPr>
              <w:t>Router  ·  Temporal Parser  ·  Ambiguity Resolver  ·  Reference Detector</w:t>
            </w:r>
          </w:p>
        </w:tc>
      </w:tr>
    </w:tbl>
    <w:p>
      <w:pPr>
        <w:spacing w:after="40" w:before="40"/>
        <w:jc w:val="center"/>
      </w:pPr>
      <w:r>
        <w:rPr>
          <w:rFonts w:ascii="Arial" w:hAnsi="Arial" w:cs="Arial" w:eastAsia="Arial"/>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Arial" w:hAnsi="Arial" w:cs="Arial" w:eastAsia="Arial"/>
                <w:b/>
                <w:color w:val="FFFFFF"/>
                <w:sz w:val="28"/>
              </w:rPr>
              <w:t>2</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color w:val="1E3A8A"/>
                <w:sz w:val="24"/>
              </w:rPr>
              <w:t>Domain Specialists</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val="0"/>
                <w:color w:val="1F2937"/>
                <w:sz w:val="24"/>
              </w:rPr>
              <w:t>Inventory  ·  Logistics  ·  Finance  ·  Demand   (4 LLM-driven agents)</w:t>
            </w:r>
          </w:p>
        </w:tc>
      </w:tr>
    </w:tbl>
    <w:p>
      <w:pPr>
        <w:spacing w:after="40" w:before="40"/>
        <w:jc w:val="center"/>
      </w:pPr>
      <w:r>
        <w:rPr>
          <w:rFonts w:ascii="Arial" w:hAnsi="Arial" w:cs="Arial" w:eastAsia="Arial"/>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Arial" w:hAnsi="Arial" w:cs="Arial" w:eastAsia="Arial"/>
                <w:b/>
                <w:color w:val="FFFFFF"/>
                <w:sz w:val="28"/>
              </w:rPr>
              <w:t>3</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color w:val="1E3A8A"/>
                <w:sz w:val="24"/>
              </w:rPr>
              <w:t>Composer  (sqlglot AST)</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val="0"/>
                <w:color w:val="1F2937"/>
                <w:sz w:val="24"/>
              </w:rPr>
              <w:t>CTE wrapping  +  shared-key INNER JOIN / CROSS JOIN fallback</w:t>
            </w:r>
          </w:p>
        </w:tc>
      </w:tr>
    </w:tbl>
    <w:p>
      <w:pPr>
        <w:spacing w:after="40" w:before="40"/>
        <w:jc w:val="center"/>
      </w:pPr>
      <w:r>
        <w:rPr>
          <w:rFonts w:ascii="Arial" w:hAnsi="Arial" w:cs="Arial" w:eastAsia="Arial"/>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Arial" w:hAnsi="Arial" w:cs="Arial" w:eastAsia="Arial"/>
                <w:b/>
                <w:color w:val="FFFFFF"/>
                <w:sz w:val="28"/>
              </w:rPr>
              <w:t>4</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color w:val="1E3A8A"/>
                <w:sz w:val="24"/>
              </w:rPr>
              <w:t>Compliance  (sqlglot AST)</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val="0"/>
                <w:color w:val="1F2937"/>
                <w:sz w:val="24"/>
              </w:rPr>
              <w:t>Per-SELECT RBAC predicate injection  +  audit log emission</w:t>
            </w:r>
          </w:p>
        </w:tc>
      </w:tr>
    </w:tbl>
    <w:p>
      <w:pPr>
        <w:spacing w:after="40" w:before="40"/>
        <w:jc w:val="center"/>
      </w:pPr>
      <w:r>
        <w:rPr>
          <w:rFonts w:ascii="Arial" w:hAnsi="Arial" w:cs="Arial" w:eastAsia="Arial"/>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Arial" w:hAnsi="Arial" w:cs="Arial" w:eastAsia="Arial"/>
                <w:b/>
                <w:color w:val="FFFFFF"/>
                <w:sz w:val="28"/>
              </w:rPr>
              <w:t>5</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color w:val="1E3A8A"/>
                <w:sz w:val="24"/>
              </w:rPr>
              <w:t>Validator</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Arial" w:hAnsi="Arial" w:cs="Arial" w:eastAsia="Arial"/>
                <w:b w:val="0"/>
                <w:color w:val="1F2937"/>
                <w:sz w:val="24"/>
              </w:rPr>
              <w:t>Syntax  →  PostgreSQL EXPLAIN  →  Business-rule sanity checks</w:t>
            </w:r>
          </w:p>
        </w:tc>
      </w:tr>
    </w:tbl>
    <w:p>
      <w:pPr>
        <w:spacing w:after="80" w:before="280" w:line="288" w:lineRule="auto"/>
        <w:jc w:val="left"/>
      </w:pPr>
      <w:r>
        <w:rPr>
          <w:rFonts w:ascii="Arial" w:hAnsi="Arial" w:cs="Arial" w:eastAsia="Arial"/>
          <w:b/>
          <w:color w:val="1E3A8A"/>
          <w:sz w:val="28"/>
        </w:rPr>
        <w:t>Multi-turn dialogue carry-over</w:t>
      </w:r>
    </w:p>
    <w:p>
      <w:pPr>
        <w:spacing w:after="160" w:before="0" w:line="288" w:lineRule="auto"/>
        <w:jc w:val="left"/>
      </w:pPr>
      <w:r>
        <w:rPr>
          <w:rFonts w:ascii="Arial" w:hAnsi="Arial" w:cs="Arial" w:eastAsia="Arial"/>
          <w:b w:val="0"/>
          <w:color w:val="1F2937"/>
          <w:sz w:val="24"/>
        </w:rPr>
        <w:t>After each successful query, the Conversation Memory stores the user query, the generated SQL, the domains used, and a short summary. On the next turn the Reference Detector classifies the new query relative to the prior turn. For NEW_TOPIC the Router runs normally; for REFINEMENT, COMPARISON or FOLLOW_UP the orchestrator inherits the prior turn’s domains, freeing the user from re-stating context. A live three-turn dialogue produces SQL that passes Postgres EXPLAIN on all three turns at a combined LLM cost of approximately four cents.</w:t>
      </w:r>
    </w:p>
    <w:p>
      <w:pPr>
        <w:spacing w:after="120" w:before="0" w:line="288" w:lineRule="auto"/>
        <w:jc w:val="center"/>
      </w:pPr>
      <w:r>
        <w:rPr>
          <w:rFonts w:ascii="Arial" w:hAnsi="Arial" w:cs="Arial" w:eastAsia="Arial"/>
          <w:b/>
          <w:color w:val="1F2937"/>
          <w:sz w:val="24"/>
        </w:rPr>
        <w:t>Figure 2.  Multi-turn dialogue carry-over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850"/>
            <w:vAlign w:val="center"/>
            <w:shd w:val="clear" w:color="auto" w:fill="1E3A8A"/>
          </w:tcPr>
          <w:p>
            <w:pPr>
              <w:spacing w:after="40" w:before="40"/>
              <w:jc w:val="center"/>
            </w:pPr>
            <w:r/>
            <w:r>
              <w:rPr>
                <w:rFonts w:ascii="Arial" w:hAnsi="Arial" w:cs="Arial" w:eastAsia="Arial"/>
                <w:b/>
                <w:color w:val="FFFFFF"/>
                <w:sz w:val="24"/>
              </w:rPr>
              <w:t>Turn 1</w:t>
            </w:r>
          </w:p>
        </w:tc>
        <w:tc>
          <w:tcPr>
            <w:tcW w:type="dxa" w:w="1871"/>
            <w:vAlign w:val="center"/>
            <w:shd w:val="clear" w:color="auto" w:fill="DBEAFE"/>
          </w:tcPr>
          <w:p>
            <w:pPr>
              <w:spacing w:after="40" w:before="40"/>
              <w:jc w:val="center"/>
            </w:pPr>
            <w:r/>
            <w:r>
              <w:rPr>
                <w:rFonts w:ascii="Arial" w:hAnsi="Arial" w:cs="Arial" w:eastAsia="Arial"/>
                <w:b/>
                <w:color w:val="1E3A8A"/>
                <w:sz w:val="22"/>
              </w:rPr>
              <w:t>NEW_TOPIC</w:t>
            </w:r>
          </w:p>
        </w:tc>
        <w:tc>
          <w:tcPr>
            <w:tcW w:type="dxa" w:w="3288"/>
            <w:vAlign w:val="center"/>
          </w:tcPr>
          <w:p>
            <w:pPr>
              <w:spacing w:after="40" w:before="40"/>
              <w:jc w:val="left"/>
            </w:pPr>
            <w:r/>
            <w:r>
              <w:rPr>
                <w:rFonts w:ascii="Arial" w:hAnsi="Arial" w:cs="Arial" w:eastAsia="Arial"/>
                <w:b w:val="0"/>
                <w:color w:val="1F2937"/>
                <w:sz w:val="22"/>
              </w:rPr>
              <w:t>“Show me total revenue by customer this quarter.”</w:t>
            </w:r>
          </w:p>
        </w:tc>
        <w:tc>
          <w:tcPr>
            <w:tcW w:type="dxa" w:w="3515"/>
            <w:vAlign w:val="center"/>
          </w:tcPr>
          <w:p>
            <w:pPr>
              <w:spacing w:after="40" w:before="40"/>
              <w:jc w:val="left"/>
            </w:pPr>
            <w:r/>
            <w:r>
              <w:rPr>
                <w:rFonts w:ascii="Arial" w:hAnsi="Arial" w:cs="Arial" w:eastAsia="Arial"/>
                <w:b w:val="0"/>
                <w:color w:val="1F2937"/>
                <w:sz w:val="22"/>
              </w:rPr>
              <w:t>Router selects [finance, demand]. Composer builds 2 CTEs.</w:t>
            </w:r>
          </w:p>
        </w:tc>
      </w:tr>
      <w:tr>
        <w:tc>
          <w:tcPr>
            <w:tcW w:type="dxa" w:w="850"/>
            <w:vAlign w:val="center"/>
            <w:shd w:val="clear" w:color="auto" w:fill="1E3A8A"/>
          </w:tcPr>
          <w:p>
            <w:pPr>
              <w:spacing w:after="40" w:before="40"/>
              <w:jc w:val="center"/>
            </w:pPr>
            <w:r/>
            <w:r>
              <w:rPr>
                <w:rFonts w:ascii="Arial" w:hAnsi="Arial" w:cs="Arial" w:eastAsia="Arial"/>
                <w:b/>
                <w:color w:val="FFFFFF"/>
                <w:sz w:val="24"/>
              </w:rPr>
              <w:t>Turn 2</w:t>
            </w:r>
          </w:p>
        </w:tc>
        <w:tc>
          <w:tcPr>
            <w:tcW w:type="dxa" w:w="1871"/>
            <w:vAlign w:val="center"/>
            <w:shd w:val="clear" w:color="auto" w:fill="DBEAFE"/>
          </w:tcPr>
          <w:p>
            <w:pPr>
              <w:spacing w:after="40" w:before="40"/>
              <w:jc w:val="center"/>
            </w:pPr>
            <w:r/>
            <w:r>
              <w:rPr>
                <w:rFonts w:ascii="Arial" w:hAnsi="Arial" w:cs="Arial" w:eastAsia="Arial"/>
                <w:b/>
                <w:color w:val="1E3A8A"/>
                <w:sz w:val="22"/>
              </w:rPr>
              <w:t>REFINEMENT</w:t>
            </w:r>
          </w:p>
        </w:tc>
        <w:tc>
          <w:tcPr>
            <w:tcW w:type="dxa" w:w="3288"/>
            <w:vAlign w:val="center"/>
          </w:tcPr>
          <w:p>
            <w:pPr>
              <w:spacing w:after="40" w:before="40"/>
              <w:jc w:val="left"/>
            </w:pPr>
            <w:r/>
            <w:r>
              <w:rPr>
                <w:rFonts w:ascii="Arial" w:hAnsi="Arial" w:cs="Arial" w:eastAsia="Arial"/>
                <w:b w:val="0"/>
                <w:color w:val="1F2937"/>
                <w:sz w:val="22"/>
              </w:rPr>
              <w:t>“Only the top 5.”</w:t>
            </w:r>
          </w:p>
        </w:tc>
        <w:tc>
          <w:tcPr>
            <w:tcW w:type="dxa" w:w="3515"/>
            <w:vAlign w:val="center"/>
          </w:tcPr>
          <w:p>
            <w:pPr>
              <w:spacing w:after="40" w:before="40"/>
              <w:jc w:val="left"/>
            </w:pPr>
            <w:r/>
            <w:r>
              <w:rPr>
                <w:rFonts w:ascii="Arial" w:hAnsi="Arial" w:cs="Arial" w:eastAsia="Arial"/>
                <w:b w:val="0"/>
                <w:color w:val="1F2937"/>
                <w:sz w:val="22"/>
              </w:rPr>
              <w:t>ReferenceDetector inherits prior domains. Each CTE gets LIMIT 5.</w:t>
            </w:r>
          </w:p>
        </w:tc>
      </w:tr>
      <w:tr>
        <w:tc>
          <w:tcPr>
            <w:tcW w:type="dxa" w:w="850"/>
            <w:vAlign w:val="center"/>
            <w:shd w:val="clear" w:color="auto" w:fill="1E3A8A"/>
          </w:tcPr>
          <w:p>
            <w:pPr>
              <w:spacing w:after="40" w:before="40"/>
              <w:jc w:val="center"/>
            </w:pPr>
            <w:r/>
            <w:r>
              <w:rPr>
                <w:rFonts w:ascii="Arial" w:hAnsi="Arial" w:cs="Arial" w:eastAsia="Arial"/>
                <w:b/>
                <w:color w:val="FFFFFF"/>
                <w:sz w:val="24"/>
              </w:rPr>
              <w:t>Turn 3</w:t>
            </w:r>
          </w:p>
        </w:tc>
        <w:tc>
          <w:tcPr>
            <w:tcW w:type="dxa" w:w="1871"/>
            <w:vAlign w:val="center"/>
            <w:shd w:val="clear" w:color="auto" w:fill="DBEAFE"/>
          </w:tcPr>
          <w:p>
            <w:pPr>
              <w:spacing w:after="40" w:before="40"/>
              <w:jc w:val="center"/>
            </w:pPr>
            <w:r/>
            <w:r>
              <w:rPr>
                <w:rFonts w:ascii="Arial" w:hAnsi="Arial" w:cs="Arial" w:eastAsia="Arial"/>
                <w:b/>
                <w:color w:val="1E3A8A"/>
                <w:sz w:val="22"/>
              </w:rPr>
              <w:t>COMPARISON</w:t>
            </w:r>
          </w:p>
        </w:tc>
        <w:tc>
          <w:tcPr>
            <w:tcW w:type="dxa" w:w="3288"/>
            <w:vAlign w:val="center"/>
          </w:tcPr>
          <w:p>
            <w:pPr>
              <w:spacing w:after="40" w:before="40"/>
              <w:jc w:val="left"/>
            </w:pPr>
            <w:r/>
            <w:r>
              <w:rPr>
                <w:rFonts w:ascii="Arial" w:hAnsi="Arial" w:cs="Arial" w:eastAsia="Arial"/>
                <w:b w:val="0"/>
                <w:color w:val="1F2937"/>
                <w:sz w:val="22"/>
              </w:rPr>
              <w:t>“Now compare with the same period last year.”</w:t>
            </w:r>
          </w:p>
        </w:tc>
        <w:tc>
          <w:tcPr>
            <w:tcW w:type="dxa" w:w="3515"/>
            <w:vAlign w:val="center"/>
          </w:tcPr>
          <w:p>
            <w:pPr>
              <w:spacing w:after="40" w:before="40"/>
              <w:jc w:val="left"/>
            </w:pPr>
            <w:r/>
            <w:r>
              <w:rPr>
                <w:rFonts w:ascii="Arial" w:hAnsi="Arial" w:cs="Arial" w:eastAsia="Arial"/>
                <w:b w:val="0"/>
                <w:color w:val="1F2937"/>
                <w:sz w:val="22"/>
              </w:rPr>
              <w:t>TemporalParser supplies 2025 + 2026 ranges. Agents produce SUM(CASE WHEN…) two-period SQL.</w:t>
            </w:r>
          </w:p>
        </w:tc>
      </w:tr>
    </w:tbl>
    <w:p>
      <w:r>
        <w:br w:type="page"/>
      </w:r>
    </w:p>
    <w:p>
      <w:pPr>
        <w:keepNext/>
        <w:spacing w:before="320" w:after="120"/>
      </w:pPr>
      <w:r>
        <w:rPr>
          <w:rFonts w:ascii="Arial" w:hAnsi="Arial" w:cs="Arial" w:eastAsia="Arial"/>
          <w:b/>
          <w:color w:val="1E3A8A"/>
          <w:sz w:val="28"/>
        </w:rPr>
        <w:t>3.  Major Technical Specifications</w:t>
      </w:r>
    </w:p>
    <w:p>
      <w:pPr>
        <w:spacing w:after="120" w:before="0" w:line="288" w:lineRule="auto"/>
        <w:jc w:val="left"/>
      </w:pPr>
      <w:r>
        <w:rPr>
          <w:rFonts w:ascii="Arial" w:hAnsi="Arial" w:cs="Arial" w:eastAsia="Arial"/>
          <w:b w:val="0"/>
          <w:color w:val="1F2937"/>
          <w:sz w:val="24"/>
        </w:rPr>
        <w:t>Table 1 lists the major technical parameters of the implementation as of the mid-semester checkpoint. All components run from a single Docker Compose file on commodity hardware.</w:t>
      </w:r>
    </w:p>
    <w:tbl>
      <w:tblPr>
        <w:tblStyle w:val="TableGrid"/>
        <w:tblW w:type="auto" w:w="0"/>
        <w:jc w:val="center"/>
        <w:tblLook w:firstColumn="1" w:firstRow="1" w:lastColumn="0" w:lastRow="0" w:noHBand="0" w:noVBand="1" w:val="04A0"/>
      </w:tblPr>
      <w:tblGrid>
        <w:gridCol w:w="3137"/>
        <w:gridCol w:w="3137"/>
        <w:gridCol w:w="3137"/>
      </w:tblGrid>
      <w:tr>
        <w:tc>
          <w:tcPr>
            <w:tcW w:type="dxa" w:w="510"/>
            <w:vAlign w:val="center"/>
            <w:shd w:val="clear" w:color="auto" w:fill="1E3A8A"/>
          </w:tcPr>
          <w:p>
            <w:pPr>
              <w:spacing w:after="40" w:before="40"/>
              <w:jc w:val="left"/>
            </w:pPr>
            <w:r/>
            <w:r>
              <w:rPr>
                <w:rFonts w:ascii="Arial" w:hAnsi="Arial" w:cs="Arial" w:eastAsia="Arial"/>
                <w:b/>
                <w:color w:val="FFFFFF"/>
                <w:sz w:val="22"/>
              </w:rPr>
              <w:t>#</w:t>
            </w:r>
          </w:p>
        </w:tc>
        <w:tc>
          <w:tcPr>
            <w:tcW w:type="dxa" w:w="3288"/>
            <w:vAlign w:val="center"/>
            <w:shd w:val="clear" w:color="auto" w:fill="1E3A8A"/>
          </w:tcPr>
          <w:p>
            <w:pPr>
              <w:spacing w:after="40" w:before="40"/>
              <w:jc w:val="left"/>
            </w:pPr>
            <w:r/>
            <w:r>
              <w:rPr>
                <w:rFonts w:ascii="Arial" w:hAnsi="Arial" w:cs="Arial" w:eastAsia="Arial"/>
                <w:b/>
                <w:color w:val="FFFFFF"/>
                <w:sz w:val="22"/>
              </w:rPr>
              <w:t>Parameter</w:t>
            </w:r>
          </w:p>
        </w:tc>
        <w:tc>
          <w:tcPr>
            <w:tcW w:type="dxa" w:w="5386"/>
            <w:vAlign w:val="center"/>
            <w:shd w:val="clear" w:color="auto" w:fill="1E3A8A"/>
          </w:tcPr>
          <w:p>
            <w:pPr>
              <w:spacing w:after="40" w:before="40"/>
              <w:jc w:val="left"/>
            </w:pPr>
            <w:r/>
            <w:r>
              <w:rPr>
                <w:rFonts w:ascii="Arial" w:hAnsi="Arial" w:cs="Arial" w:eastAsia="Arial"/>
                <w:b/>
                <w:color w:val="FFFFFF"/>
                <w:sz w:val="22"/>
              </w:rPr>
              <w:t>Value</w:t>
            </w:r>
          </w:p>
        </w:tc>
      </w:tr>
      <w:tr>
        <w:tc>
          <w:tcPr>
            <w:tcW w:type="dxa" w:w="510"/>
            <w:vAlign w:val="center"/>
          </w:tcPr>
          <w:p>
            <w:pPr>
              <w:spacing w:after="40" w:before="40"/>
              <w:jc w:val="left"/>
            </w:pPr>
            <w:r/>
            <w:r>
              <w:rPr>
                <w:rFonts w:ascii="Arial" w:hAnsi="Arial" w:cs="Arial" w:eastAsia="Arial"/>
                <w:b w:val="0"/>
                <w:color w:val="1F2937"/>
                <w:sz w:val="22"/>
              </w:rPr>
              <w:t>1</w:t>
            </w:r>
          </w:p>
        </w:tc>
        <w:tc>
          <w:tcPr>
            <w:tcW w:type="dxa" w:w="3288"/>
            <w:vAlign w:val="center"/>
          </w:tcPr>
          <w:p>
            <w:pPr>
              <w:spacing w:after="40" w:before="40"/>
              <w:jc w:val="left"/>
            </w:pPr>
            <w:r/>
            <w:r>
              <w:rPr>
                <w:rFonts w:ascii="Arial" w:hAnsi="Arial" w:cs="Arial" w:eastAsia="Arial"/>
                <w:b w:val="0"/>
                <w:color w:val="1F2937"/>
                <w:sz w:val="22"/>
              </w:rPr>
              <w:t>Programming language</w:t>
            </w:r>
          </w:p>
        </w:tc>
        <w:tc>
          <w:tcPr>
            <w:tcW w:type="dxa" w:w="5386"/>
            <w:vAlign w:val="center"/>
          </w:tcPr>
          <w:p>
            <w:pPr>
              <w:spacing w:after="40" w:before="40"/>
              <w:jc w:val="left"/>
            </w:pPr>
            <w:r/>
            <w:r>
              <w:rPr>
                <w:rFonts w:ascii="Arial" w:hAnsi="Arial" w:cs="Arial" w:eastAsia="Arial"/>
                <w:b w:val="0"/>
                <w:color w:val="1F2937"/>
                <w:sz w:val="22"/>
              </w:rPr>
              <w:t>Python 3.12</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2</w:t>
            </w:r>
          </w:p>
        </w:tc>
        <w:tc>
          <w:tcPr>
            <w:tcW w:type="dxa" w:w="3288"/>
            <w:vAlign w:val="center"/>
            <w:shd w:val="clear" w:color="auto" w:fill="F8FAFC"/>
          </w:tcPr>
          <w:p>
            <w:pPr>
              <w:spacing w:after="40" w:before="40"/>
              <w:jc w:val="left"/>
            </w:pPr>
            <w:r/>
            <w:r>
              <w:rPr>
                <w:rFonts w:ascii="Arial" w:hAnsi="Arial" w:cs="Arial" w:eastAsia="Arial"/>
                <w:b w:val="0"/>
                <w:color w:val="1F2937"/>
                <w:sz w:val="22"/>
              </w:rPr>
              <w:t>Backend framework</w:t>
            </w:r>
          </w:p>
        </w:tc>
        <w:tc>
          <w:tcPr>
            <w:tcW w:type="dxa" w:w="5386"/>
            <w:vAlign w:val="center"/>
            <w:shd w:val="clear" w:color="auto" w:fill="F8FAFC"/>
          </w:tcPr>
          <w:p>
            <w:pPr>
              <w:spacing w:after="40" w:before="40"/>
              <w:jc w:val="left"/>
            </w:pPr>
            <w:r/>
            <w:r>
              <w:rPr>
                <w:rFonts w:ascii="Arial" w:hAnsi="Arial" w:cs="Arial" w:eastAsia="Arial"/>
                <w:b w:val="0"/>
                <w:color w:val="1F2937"/>
                <w:sz w:val="22"/>
              </w:rPr>
              <w:t>FastAPI 0.136 (async)</w:t>
            </w:r>
          </w:p>
        </w:tc>
      </w:tr>
      <w:tr>
        <w:tc>
          <w:tcPr>
            <w:tcW w:type="dxa" w:w="510"/>
            <w:vAlign w:val="center"/>
          </w:tcPr>
          <w:p>
            <w:pPr>
              <w:spacing w:after="40" w:before="40"/>
              <w:jc w:val="left"/>
            </w:pPr>
            <w:r/>
            <w:r>
              <w:rPr>
                <w:rFonts w:ascii="Arial" w:hAnsi="Arial" w:cs="Arial" w:eastAsia="Arial"/>
                <w:b w:val="0"/>
                <w:color w:val="1F2937"/>
                <w:sz w:val="22"/>
              </w:rPr>
              <w:t>3</w:t>
            </w:r>
          </w:p>
        </w:tc>
        <w:tc>
          <w:tcPr>
            <w:tcW w:type="dxa" w:w="3288"/>
            <w:vAlign w:val="center"/>
          </w:tcPr>
          <w:p>
            <w:pPr>
              <w:spacing w:after="40" w:before="40"/>
              <w:jc w:val="left"/>
            </w:pPr>
            <w:r/>
            <w:r>
              <w:rPr>
                <w:rFonts w:ascii="Arial" w:hAnsi="Arial" w:cs="Arial" w:eastAsia="Arial"/>
                <w:b w:val="0"/>
                <w:color w:val="1F2937"/>
                <w:sz w:val="22"/>
              </w:rPr>
              <w:t>Multi-agent orchestration</w:t>
            </w:r>
          </w:p>
        </w:tc>
        <w:tc>
          <w:tcPr>
            <w:tcW w:type="dxa" w:w="5386"/>
            <w:vAlign w:val="center"/>
          </w:tcPr>
          <w:p>
            <w:pPr>
              <w:spacing w:after="40" w:before="40"/>
              <w:jc w:val="left"/>
            </w:pPr>
            <w:r/>
            <w:r>
              <w:rPr>
                <w:rFonts w:ascii="Arial" w:hAnsi="Arial" w:cs="Arial" w:eastAsia="Arial"/>
                <w:b w:val="0"/>
                <w:color w:val="1F2937"/>
                <w:sz w:val="22"/>
              </w:rPr>
              <w:t>LangGraph 1.2 (state machine)</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4</w:t>
            </w:r>
          </w:p>
        </w:tc>
        <w:tc>
          <w:tcPr>
            <w:tcW w:type="dxa" w:w="3288"/>
            <w:vAlign w:val="center"/>
            <w:shd w:val="clear" w:color="auto" w:fill="F8FAFC"/>
          </w:tcPr>
          <w:p>
            <w:pPr>
              <w:spacing w:after="40" w:before="40"/>
              <w:jc w:val="left"/>
            </w:pPr>
            <w:r/>
            <w:r>
              <w:rPr>
                <w:rFonts w:ascii="Arial" w:hAnsi="Arial" w:cs="Arial" w:eastAsia="Arial"/>
                <w:b w:val="0"/>
                <w:color w:val="1F2937"/>
                <w:sz w:val="22"/>
              </w:rPr>
              <w:t>SQL parsing and rewriting</w:t>
            </w:r>
          </w:p>
        </w:tc>
        <w:tc>
          <w:tcPr>
            <w:tcW w:type="dxa" w:w="5386"/>
            <w:vAlign w:val="center"/>
            <w:shd w:val="clear" w:color="auto" w:fill="F8FAFC"/>
          </w:tcPr>
          <w:p>
            <w:pPr>
              <w:spacing w:after="40" w:before="40"/>
              <w:jc w:val="left"/>
            </w:pPr>
            <w:r/>
            <w:r>
              <w:rPr>
                <w:rFonts w:ascii="Arial" w:hAnsi="Arial" w:cs="Arial" w:eastAsia="Arial"/>
                <w:b w:val="0"/>
                <w:color w:val="1F2937"/>
                <w:sz w:val="22"/>
              </w:rPr>
              <w:t>sqlglot 30.8 (PostgreSQL dialect)</w:t>
            </w:r>
          </w:p>
        </w:tc>
      </w:tr>
      <w:tr>
        <w:tc>
          <w:tcPr>
            <w:tcW w:type="dxa" w:w="510"/>
            <w:vAlign w:val="center"/>
          </w:tcPr>
          <w:p>
            <w:pPr>
              <w:spacing w:after="40" w:before="40"/>
              <w:jc w:val="left"/>
            </w:pPr>
            <w:r/>
            <w:r>
              <w:rPr>
                <w:rFonts w:ascii="Arial" w:hAnsi="Arial" w:cs="Arial" w:eastAsia="Arial"/>
                <w:b w:val="0"/>
                <w:color w:val="1F2937"/>
                <w:sz w:val="22"/>
              </w:rPr>
              <w:t>5</w:t>
            </w:r>
          </w:p>
        </w:tc>
        <w:tc>
          <w:tcPr>
            <w:tcW w:type="dxa" w:w="3288"/>
            <w:vAlign w:val="center"/>
          </w:tcPr>
          <w:p>
            <w:pPr>
              <w:spacing w:after="40" w:before="40"/>
              <w:jc w:val="left"/>
            </w:pPr>
            <w:r/>
            <w:r>
              <w:rPr>
                <w:rFonts w:ascii="Arial" w:hAnsi="Arial" w:cs="Arial" w:eastAsia="Arial"/>
                <w:b w:val="0"/>
                <w:color w:val="1F2937"/>
                <w:sz w:val="22"/>
              </w:rPr>
              <w:t>Primary database (ERP)</w:t>
            </w:r>
          </w:p>
        </w:tc>
        <w:tc>
          <w:tcPr>
            <w:tcW w:type="dxa" w:w="5386"/>
            <w:vAlign w:val="center"/>
          </w:tcPr>
          <w:p>
            <w:pPr>
              <w:spacing w:after="40" w:before="40"/>
              <w:jc w:val="left"/>
            </w:pPr>
            <w:r/>
            <w:r>
              <w:rPr>
                <w:rFonts w:ascii="Arial" w:hAnsi="Arial" w:cs="Arial" w:eastAsia="Arial"/>
                <w:b w:val="0"/>
                <w:color w:val="1F2937"/>
                <w:sz w:val="22"/>
              </w:rPr>
              <w:t>PostgreSQL 16  +  Odoo 17  (498 tables with demo data)</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6</w:t>
            </w:r>
          </w:p>
        </w:tc>
        <w:tc>
          <w:tcPr>
            <w:tcW w:type="dxa" w:w="3288"/>
            <w:vAlign w:val="center"/>
            <w:shd w:val="clear" w:color="auto" w:fill="F8FAFC"/>
          </w:tcPr>
          <w:p>
            <w:pPr>
              <w:spacing w:after="40" w:before="40"/>
              <w:jc w:val="left"/>
            </w:pPr>
            <w:r/>
            <w:r>
              <w:rPr>
                <w:rFonts w:ascii="Arial" w:hAnsi="Arial" w:cs="Arial" w:eastAsia="Arial"/>
                <w:b w:val="0"/>
                <w:color w:val="1F2937"/>
                <w:sz w:val="22"/>
              </w:rPr>
              <w:t>Analytics database</w:t>
            </w:r>
          </w:p>
        </w:tc>
        <w:tc>
          <w:tcPr>
            <w:tcW w:type="dxa" w:w="5386"/>
            <w:vAlign w:val="center"/>
            <w:shd w:val="clear" w:color="auto" w:fill="F8FAFC"/>
          </w:tcPr>
          <w:p>
            <w:pPr>
              <w:spacing w:after="40" w:before="40"/>
              <w:jc w:val="left"/>
            </w:pPr>
            <w:r/>
            <w:r>
              <w:rPr>
                <w:rFonts w:ascii="Arial" w:hAnsi="Arial" w:cs="Arial" w:eastAsia="Arial"/>
                <w:b w:val="0"/>
                <w:color w:val="1F2937"/>
                <w:sz w:val="22"/>
              </w:rPr>
              <w:t>DuckDB 1.5 (embedded, file-based)</w:t>
            </w:r>
          </w:p>
        </w:tc>
      </w:tr>
      <w:tr>
        <w:tc>
          <w:tcPr>
            <w:tcW w:type="dxa" w:w="510"/>
            <w:vAlign w:val="center"/>
          </w:tcPr>
          <w:p>
            <w:pPr>
              <w:spacing w:after="40" w:before="40"/>
              <w:jc w:val="left"/>
            </w:pPr>
            <w:r/>
            <w:r>
              <w:rPr>
                <w:rFonts w:ascii="Arial" w:hAnsi="Arial" w:cs="Arial" w:eastAsia="Arial"/>
                <w:b w:val="0"/>
                <w:color w:val="1F2937"/>
                <w:sz w:val="22"/>
              </w:rPr>
              <w:t>7</w:t>
            </w:r>
          </w:p>
        </w:tc>
        <w:tc>
          <w:tcPr>
            <w:tcW w:type="dxa" w:w="3288"/>
            <w:vAlign w:val="center"/>
          </w:tcPr>
          <w:p>
            <w:pPr>
              <w:spacing w:after="40" w:before="40"/>
              <w:jc w:val="left"/>
            </w:pPr>
            <w:r/>
            <w:r>
              <w:rPr>
                <w:rFonts w:ascii="Arial" w:hAnsi="Arial" w:cs="Arial" w:eastAsia="Arial"/>
                <w:b w:val="0"/>
                <w:color w:val="1F2937"/>
                <w:sz w:val="22"/>
              </w:rPr>
              <w:t>Cache / live-state store</w:t>
            </w:r>
          </w:p>
        </w:tc>
        <w:tc>
          <w:tcPr>
            <w:tcW w:type="dxa" w:w="5386"/>
            <w:vAlign w:val="center"/>
          </w:tcPr>
          <w:p>
            <w:pPr>
              <w:spacing w:after="40" w:before="40"/>
              <w:jc w:val="left"/>
            </w:pPr>
            <w:r/>
            <w:r>
              <w:rPr>
                <w:rFonts w:ascii="Arial" w:hAnsi="Arial" w:cs="Arial" w:eastAsia="Arial"/>
                <w:b w:val="0"/>
                <w:color w:val="1F2937"/>
                <w:sz w:val="22"/>
              </w:rPr>
              <w:t>Redis 7</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8</w:t>
            </w:r>
          </w:p>
        </w:tc>
        <w:tc>
          <w:tcPr>
            <w:tcW w:type="dxa" w:w="3288"/>
            <w:vAlign w:val="center"/>
            <w:shd w:val="clear" w:color="auto" w:fill="F8FAFC"/>
          </w:tcPr>
          <w:p>
            <w:pPr>
              <w:spacing w:after="40" w:before="40"/>
              <w:jc w:val="left"/>
            </w:pPr>
            <w:r/>
            <w:r>
              <w:rPr>
                <w:rFonts w:ascii="Arial" w:hAnsi="Arial" w:cs="Arial" w:eastAsia="Arial"/>
                <w:b w:val="0"/>
                <w:color w:val="1F2937"/>
                <w:sz w:val="22"/>
              </w:rPr>
              <w:t>LLM — SQL generation</w:t>
            </w:r>
          </w:p>
        </w:tc>
        <w:tc>
          <w:tcPr>
            <w:tcW w:type="dxa" w:w="5386"/>
            <w:vAlign w:val="center"/>
            <w:shd w:val="clear" w:color="auto" w:fill="F8FAFC"/>
          </w:tcPr>
          <w:p>
            <w:pPr>
              <w:spacing w:after="40" w:before="40"/>
              <w:jc w:val="left"/>
            </w:pPr>
            <w:r/>
            <w:r>
              <w:rPr>
                <w:rFonts w:ascii="Arial" w:hAnsi="Arial" w:cs="Arial" w:eastAsia="Arial"/>
                <w:b w:val="0"/>
                <w:color w:val="1F2937"/>
                <w:sz w:val="22"/>
              </w:rPr>
              <w:t>Anthropic claude-haiku-4-5</w:t>
            </w:r>
          </w:p>
        </w:tc>
      </w:tr>
      <w:tr>
        <w:tc>
          <w:tcPr>
            <w:tcW w:type="dxa" w:w="510"/>
            <w:vAlign w:val="center"/>
          </w:tcPr>
          <w:p>
            <w:pPr>
              <w:spacing w:after="40" w:before="40"/>
              <w:jc w:val="left"/>
            </w:pPr>
            <w:r/>
            <w:r>
              <w:rPr>
                <w:rFonts w:ascii="Arial" w:hAnsi="Arial" w:cs="Arial" w:eastAsia="Arial"/>
                <w:b w:val="0"/>
                <w:color w:val="1F2937"/>
                <w:sz w:val="22"/>
              </w:rPr>
              <w:t>9</w:t>
            </w:r>
          </w:p>
        </w:tc>
        <w:tc>
          <w:tcPr>
            <w:tcW w:type="dxa" w:w="3288"/>
            <w:vAlign w:val="center"/>
          </w:tcPr>
          <w:p>
            <w:pPr>
              <w:spacing w:after="40" w:before="40"/>
              <w:jc w:val="left"/>
            </w:pPr>
            <w:r/>
            <w:r>
              <w:rPr>
                <w:rFonts w:ascii="Arial" w:hAnsi="Arial" w:cs="Arial" w:eastAsia="Arial"/>
                <w:b w:val="0"/>
                <w:color w:val="1F2937"/>
                <w:sz w:val="22"/>
              </w:rPr>
              <w:t>LLM — routing and lightweight tasks</w:t>
            </w:r>
          </w:p>
        </w:tc>
        <w:tc>
          <w:tcPr>
            <w:tcW w:type="dxa" w:w="5386"/>
            <w:vAlign w:val="center"/>
          </w:tcPr>
          <w:p>
            <w:pPr>
              <w:spacing w:after="40" w:before="40"/>
              <w:jc w:val="left"/>
            </w:pPr>
            <w:r/>
            <w:r>
              <w:rPr>
                <w:rFonts w:ascii="Arial" w:hAnsi="Arial" w:cs="Arial" w:eastAsia="Arial"/>
                <w:b w:val="0"/>
                <w:color w:val="1F2937"/>
                <w:sz w:val="22"/>
              </w:rPr>
              <w:t>OpenAI gpt-4o-mini</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10</w:t>
            </w:r>
          </w:p>
        </w:tc>
        <w:tc>
          <w:tcPr>
            <w:tcW w:type="dxa" w:w="3288"/>
            <w:vAlign w:val="center"/>
            <w:shd w:val="clear" w:color="auto" w:fill="F8FAFC"/>
          </w:tcPr>
          <w:p>
            <w:pPr>
              <w:spacing w:after="40" w:before="40"/>
              <w:jc w:val="left"/>
            </w:pPr>
            <w:r/>
            <w:r>
              <w:rPr>
                <w:rFonts w:ascii="Arial" w:hAnsi="Arial" w:cs="Arial" w:eastAsia="Arial"/>
                <w:b w:val="0"/>
                <w:color w:val="1F2937"/>
                <w:sz w:val="22"/>
              </w:rPr>
              <w:t>LLM provider abstraction</w:t>
            </w:r>
          </w:p>
        </w:tc>
        <w:tc>
          <w:tcPr>
            <w:tcW w:type="dxa" w:w="5386"/>
            <w:vAlign w:val="center"/>
            <w:shd w:val="clear" w:color="auto" w:fill="F8FAFC"/>
          </w:tcPr>
          <w:p>
            <w:pPr>
              <w:spacing w:after="40" w:before="40"/>
              <w:jc w:val="left"/>
            </w:pPr>
            <w:r/>
            <w:r>
              <w:rPr>
                <w:rFonts w:ascii="Arial" w:hAnsi="Arial" w:cs="Arial" w:eastAsia="Arial"/>
                <w:b w:val="0"/>
                <w:color w:val="1F2937"/>
                <w:sz w:val="22"/>
              </w:rPr>
              <w:t>Custom — supports OpenAI, Anthropic, OpenRouter, local Ollama</w:t>
            </w:r>
          </w:p>
        </w:tc>
      </w:tr>
      <w:tr>
        <w:tc>
          <w:tcPr>
            <w:tcW w:type="dxa" w:w="510"/>
            <w:vAlign w:val="center"/>
          </w:tcPr>
          <w:p>
            <w:pPr>
              <w:spacing w:after="40" w:before="40"/>
              <w:jc w:val="left"/>
            </w:pPr>
            <w:r/>
            <w:r>
              <w:rPr>
                <w:rFonts w:ascii="Arial" w:hAnsi="Arial" w:cs="Arial" w:eastAsia="Arial"/>
                <w:b w:val="0"/>
                <w:color w:val="1F2937"/>
                <w:sz w:val="22"/>
              </w:rPr>
              <w:t>11</w:t>
            </w:r>
          </w:p>
        </w:tc>
        <w:tc>
          <w:tcPr>
            <w:tcW w:type="dxa" w:w="3288"/>
            <w:vAlign w:val="center"/>
          </w:tcPr>
          <w:p>
            <w:pPr>
              <w:spacing w:after="40" w:before="40"/>
              <w:jc w:val="left"/>
            </w:pPr>
            <w:r/>
            <w:r>
              <w:rPr>
                <w:rFonts w:ascii="Arial" w:hAnsi="Arial" w:cs="Arial" w:eastAsia="Arial"/>
                <w:b w:val="0"/>
                <w:color w:val="1F2937"/>
                <w:sz w:val="22"/>
              </w:rPr>
              <w:t>Domain-specialist agents</w:t>
            </w:r>
          </w:p>
        </w:tc>
        <w:tc>
          <w:tcPr>
            <w:tcW w:type="dxa" w:w="5386"/>
            <w:vAlign w:val="center"/>
          </w:tcPr>
          <w:p>
            <w:pPr>
              <w:spacing w:after="40" w:before="40"/>
              <w:jc w:val="left"/>
            </w:pPr>
            <w:r/>
            <w:r>
              <w:rPr>
                <w:rFonts w:ascii="Arial" w:hAnsi="Arial" w:cs="Arial" w:eastAsia="Arial"/>
                <w:b w:val="0"/>
                <w:color w:val="1F2937"/>
                <w:sz w:val="22"/>
              </w:rPr>
              <w:t>4 active (Inventory, Logistics, Finance, Demand) + 1 cross-cutting (Compliance, post-processor)</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12</w:t>
            </w:r>
          </w:p>
        </w:tc>
        <w:tc>
          <w:tcPr>
            <w:tcW w:type="dxa" w:w="3288"/>
            <w:vAlign w:val="center"/>
            <w:shd w:val="clear" w:color="auto" w:fill="F8FAFC"/>
          </w:tcPr>
          <w:p>
            <w:pPr>
              <w:spacing w:after="40" w:before="40"/>
              <w:jc w:val="left"/>
            </w:pPr>
            <w:r/>
            <w:r>
              <w:rPr>
                <w:rFonts w:ascii="Arial" w:hAnsi="Arial" w:cs="Arial" w:eastAsia="Arial"/>
                <w:b w:val="0"/>
                <w:color w:val="1F2937"/>
                <w:sz w:val="22"/>
              </w:rPr>
              <w:t>Schema introspection cache</w:t>
            </w:r>
          </w:p>
        </w:tc>
        <w:tc>
          <w:tcPr>
            <w:tcW w:type="dxa" w:w="5386"/>
            <w:vAlign w:val="center"/>
            <w:shd w:val="clear" w:color="auto" w:fill="F8FAFC"/>
          </w:tcPr>
          <w:p>
            <w:pPr>
              <w:spacing w:after="40" w:before="40"/>
              <w:jc w:val="left"/>
            </w:pPr>
            <w:r/>
            <w:r>
              <w:rPr>
                <w:rFonts w:ascii="Arial" w:hAnsi="Arial" w:cs="Arial" w:eastAsia="Arial"/>
                <w:b w:val="0"/>
                <w:color w:val="1F2937"/>
                <w:sz w:val="22"/>
              </w:rPr>
              <w:t>498 tables  ·  8 391 Odoo semantic field descriptions</w:t>
            </w:r>
          </w:p>
        </w:tc>
      </w:tr>
      <w:tr>
        <w:tc>
          <w:tcPr>
            <w:tcW w:type="dxa" w:w="510"/>
            <w:vAlign w:val="center"/>
          </w:tcPr>
          <w:p>
            <w:pPr>
              <w:spacing w:after="40" w:before="40"/>
              <w:jc w:val="left"/>
            </w:pPr>
            <w:r/>
            <w:r>
              <w:rPr>
                <w:rFonts w:ascii="Arial" w:hAnsi="Arial" w:cs="Arial" w:eastAsia="Arial"/>
                <w:b w:val="0"/>
                <w:color w:val="1F2937"/>
                <w:sz w:val="22"/>
              </w:rPr>
              <w:t>13</w:t>
            </w:r>
          </w:p>
        </w:tc>
        <w:tc>
          <w:tcPr>
            <w:tcW w:type="dxa" w:w="3288"/>
            <w:vAlign w:val="center"/>
          </w:tcPr>
          <w:p>
            <w:pPr>
              <w:spacing w:after="40" w:before="40"/>
              <w:jc w:val="left"/>
            </w:pPr>
            <w:r/>
            <w:r>
              <w:rPr>
                <w:rFonts w:ascii="Arial" w:hAnsi="Arial" w:cs="Arial" w:eastAsia="Arial"/>
                <w:b w:val="0"/>
                <w:color w:val="1F2937"/>
                <w:sz w:val="22"/>
              </w:rPr>
              <w:t>Temporal-expression patterns</w:t>
            </w:r>
          </w:p>
        </w:tc>
        <w:tc>
          <w:tcPr>
            <w:tcW w:type="dxa" w:w="5386"/>
            <w:vAlign w:val="center"/>
          </w:tcPr>
          <w:p>
            <w:pPr>
              <w:spacing w:after="40" w:before="40"/>
              <w:jc w:val="left"/>
            </w:pPr>
            <w:r/>
            <w:r>
              <w:rPr>
                <w:rFonts w:ascii="Arial" w:hAnsi="Arial" w:cs="Arial" w:eastAsia="Arial"/>
                <w:b w:val="0"/>
                <w:color w:val="1F2937"/>
                <w:sz w:val="22"/>
              </w:rPr>
              <w:t>20+ deterministic regex finders (calendar, fiscal, rolling, YoY)</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14</w:t>
            </w:r>
          </w:p>
        </w:tc>
        <w:tc>
          <w:tcPr>
            <w:tcW w:type="dxa" w:w="3288"/>
            <w:vAlign w:val="center"/>
            <w:shd w:val="clear" w:color="auto" w:fill="F8FAFC"/>
          </w:tcPr>
          <w:p>
            <w:pPr>
              <w:spacing w:after="40" w:before="40"/>
              <w:jc w:val="left"/>
            </w:pPr>
            <w:r/>
            <w:r>
              <w:rPr>
                <w:rFonts w:ascii="Arial" w:hAnsi="Arial" w:cs="Arial" w:eastAsia="Arial"/>
                <w:b w:val="0"/>
                <w:color w:val="1F2937"/>
                <w:sz w:val="22"/>
              </w:rPr>
              <w:t>Self-correction loop</w:t>
            </w:r>
          </w:p>
        </w:tc>
        <w:tc>
          <w:tcPr>
            <w:tcW w:type="dxa" w:w="5386"/>
            <w:vAlign w:val="center"/>
            <w:shd w:val="clear" w:color="auto" w:fill="F8FAFC"/>
          </w:tcPr>
          <w:p>
            <w:pPr>
              <w:spacing w:after="40" w:before="40"/>
              <w:jc w:val="left"/>
            </w:pPr>
            <w:r/>
            <w:r>
              <w:rPr>
                <w:rFonts w:ascii="Arial" w:hAnsi="Arial" w:cs="Arial" w:eastAsia="Arial"/>
                <w:b w:val="0"/>
                <w:color w:val="1F2937"/>
                <w:sz w:val="22"/>
              </w:rPr>
              <w:t>Up to 3 attempts, error routed to originating agent</w:t>
            </w:r>
          </w:p>
        </w:tc>
      </w:tr>
      <w:tr>
        <w:tc>
          <w:tcPr>
            <w:tcW w:type="dxa" w:w="510"/>
            <w:vAlign w:val="center"/>
          </w:tcPr>
          <w:p>
            <w:pPr>
              <w:spacing w:after="40" w:before="40"/>
              <w:jc w:val="left"/>
            </w:pPr>
            <w:r/>
            <w:r>
              <w:rPr>
                <w:rFonts w:ascii="Arial" w:hAnsi="Arial" w:cs="Arial" w:eastAsia="Arial"/>
                <w:b w:val="0"/>
                <w:color w:val="1F2937"/>
                <w:sz w:val="22"/>
              </w:rPr>
              <w:t>15</w:t>
            </w:r>
          </w:p>
        </w:tc>
        <w:tc>
          <w:tcPr>
            <w:tcW w:type="dxa" w:w="3288"/>
            <w:vAlign w:val="center"/>
          </w:tcPr>
          <w:p>
            <w:pPr>
              <w:spacing w:after="40" w:before="40"/>
              <w:jc w:val="left"/>
            </w:pPr>
            <w:r/>
            <w:r>
              <w:rPr>
                <w:rFonts w:ascii="Arial" w:hAnsi="Arial" w:cs="Arial" w:eastAsia="Arial"/>
                <w:b w:val="0"/>
                <w:color w:val="1F2937"/>
                <w:sz w:val="22"/>
              </w:rPr>
              <w:t>Test framework</w:t>
            </w:r>
          </w:p>
        </w:tc>
        <w:tc>
          <w:tcPr>
            <w:tcW w:type="dxa" w:w="5386"/>
            <w:vAlign w:val="center"/>
          </w:tcPr>
          <w:p>
            <w:pPr>
              <w:spacing w:after="40" w:before="40"/>
              <w:jc w:val="left"/>
            </w:pPr>
            <w:r/>
            <w:r>
              <w:rPr>
                <w:rFonts w:ascii="Arial" w:hAnsi="Arial" w:cs="Arial" w:eastAsia="Arial"/>
                <w:b w:val="0"/>
                <w:color w:val="1F2937"/>
                <w:sz w:val="22"/>
              </w:rPr>
              <w:t>pytest 9 with respx for HTTP mocking</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16</w:t>
            </w:r>
          </w:p>
        </w:tc>
        <w:tc>
          <w:tcPr>
            <w:tcW w:type="dxa" w:w="3288"/>
            <w:vAlign w:val="center"/>
            <w:shd w:val="clear" w:color="auto" w:fill="F8FAFC"/>
          </w:tcPr>
          <w:p>
            <w:pPr>
              <w:spacing w:after="40" w:before="40"/>
              <w:jc w:val="left"/>
            </w:pPr>
            <w:r/>
            <w:r>
              <w:rPr>
                <w:rFonts w:ascii="Arial" w:hAnsi="Arial" w:cs="Arial" w:eastAsia="Arial"/>
                <w:b w:val="0"/>
                <w:color w:val="1F2937"/>
                <w:sz w:val="22"/>
              </w:rPr>
              <w:t>Unit-test count and coverage</w:t>
            </w:r>
          </w:p>
        </w:tc>
        <w:tc>
          <w:tcPr>
            <w:tcW w:type="dxa" w:w="5386"/>
            <w:vAlign w:val="center"/>
            <w:shd w:val="clear" w:color="auto" w:fill="F8FAFC"/>
          </w:tcPr>
          <w:p>
            <w:pPr>
              <w:spacing w:after="40" w:before="40"/>
              <w:jc w:val="left"/>
            </w:pPr>
            <w:r/>
            <w:r>
              <w:rPr>
                <w:rFonts w:ascii="Arial" w:hAnsi="Arial" w:cs="Arial" w:eastAsia="Arial"/>
                <w:b w:val="0"/>
                <w:color w:val="1F2937"/>
                <w:sz w:val="22"/>
              </w:rPr>
              <w:t>210 tests  ·  87 % branch coverage</w:t>
            </w:r>
          </w:p>
        </w:tc>
      </w:tr>
      <w:tr>
        <w:tc>
          <w:tcPr>
            <w:tcW w:type="dxa" w:w="510"/>
            <w:vAlign w:val="center"/>
          </w:tcPr>
          <w:p>
            <w:pPr>
              <w:spacing w:after="40" w:before="40"/>
              <w:jc w:val="left"/>
            </w:pPr>
            <w:r/>
            <w:r>
              <w:rPr>
                <w:rFonts w:ascii="Arial" w:hAnsi="Arial" w:cs="Arial" w:eastAsia="Arial"/>
                <w:b w:val="0"/>
                <w:color w:val="1F2937"/>
                <w:sz w:val="22"/>
              </w:rPr>
              <w:t>17</w:t>
            </w:r>
          </w:p>
        </w:tc>
        <w:tc>
          <w:tcPr>
            <w:tcW w:type="dxa" w:w="3288"/>
            <w:vAlign w:val="center"/>
          </w:tcPr>
          <w:p>
            <w:pPr>
              <w:spacing w:after="40" w:before="40"/>
              <w:jc w:val="left"/>
            </w:pPr>
            <w:r/>
            <w:r>
              <w:rPr>
                <w:rFonts w:ascii="Arial" w:hAnsi="Arial" w:cs="Arial" w:eastAsia="Arial"/>
                <w:b w:val="0"/>
                <w:color w:val="1F2937"/>
                <w:sz w:val="22"/>
              </w:rPr>
              <w:t>Live integration smokes</w:t>
            </w:r>
          </w:p>
        </w:tc>
        <w:tc>
          <w:tcPr>
            <w:tcW w:type="dxa" w:w="5386"/>
            <w:vAlign w:val="center"/>
          </w:tcPr>
          <w:p>
            <w:pPr>
              <w:spacing w:after="40" w:before="40"/>
              <w:jc w:val="left"/>
            </w:pPr>
            <w:r/>
            <w:r>
              <w:rPr>
                <w:rFonts w:ascii="Arial" w:hAnsi="Arial" w:cs="Arial" w:eastAsia="Arial"/>
                <w:b w:val="0"/>
                <w:color w:val="1F2937"/>
                <w:sz w:val="22"/>
              </w:rPr>
              <w:t>5 scripts (Phase-3, Phase-4, Phase-6, Phase-7, LLM provider)</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18</w:t>
            </w:r>
          </w:p>
        </w:tc>
        <w:tc>
          <w:tcPr>
            <w:tcW w:type="dxa" w:w="3288"/>
            <w:vAlign w:val="center"/>
            <w:shd w:val="clear" w:color="auto" w:fill="F8FAFC"/>
          </w:tcPr>
          <w:p>
            <w:pPr>
              <w:spacing w:after="40" w:before="40"/>
              <w:jc w:val="left"/>
            </w:pPr>
            <w:r/>
            <w:r>
              <w:rPr>
                <w:rFonts w:ascii="Arial" w:hAnsi="Arial" w:cs="Arial" w:eastAsia="Arial"/>
                <w:b w:val="0"/>
                <w:color w:val="1F2937"/>
                <w:sz w:val="22"/>
              </w:rPr>
              <w:t>Container runtime</w:t>
            </w:r>
          </w:p>
        </w:tc>
        <w:tc>
          <w:tcPr>
            <w:tcW w:type="dxa" w:w="5386"/>
            <w:vAlign w:val="center"/>
            <w:shd w:val="clear" w:color="auto" w:fill="F8FAFC"/>
          </w:tcPr>
          <w:p>
            <w:pPr>
              <w:spacing w:after="40" w:before="40"/>
              <w:jc w:val="left"/>
            </w:pPr>
            <w:r/>
            <w:r>
              <w:rPr>
                <w:rFonts w:ascii="Arial" w:hAnsi="Arial" w:cs="Arial" w:eastAsia="Arial"/>
                <w:b w:val="0"/>
                <w:color w:val="1F2937"/>
                <w:sz w:val="22"/>
              </w:rPr>
              <w:t>Docker Compose  (PostgreSQL, Odoo, Redis, FastAPI, Next.js)</w:t>
            </w:r>
          </w:p>
        </w:tc>
      </w:tr>
      <w:tr>
        <w:tc>
          <w:tcPr>
            <w:tcW w:type="dxa" w:w="510"/>
            <w:vAlign w:val="center"/>
          </w:tcPr>
          <w:p>
            <w:pPr>
              <w:spacing w:after="40" w:before="40"/>
              <w:jc w:val="left"/>
            </w:pPr>
            <w:r/>
            <w:r>
              <w:rPr>
                <w:rFonts w:ascii="Arial" w:hAnsi="Arial" w:cs="Arial" w:eastAsia="Arial"/>
                <w:b w:val="0"/>
                <w:color w:val="1F2937"/>
                <w:sz w:val="22"/>
              </w:rPr>
              <w:t>19</w:t>
            </w:r>
          </w:p>
        </w:tc>
        <w:tc>
          <w:tcPr>
            <w:tcW w:type="dxa" w:w="3288"/>
            <w:vAlign w:val="center"/>
          </w:tcPr>
          <w:p>
            <w:pPr>
              <w:spacing w:after="40" w:before="40"/>
              <w:jc w:val="left"/>
            </w:pPr>
            <w:r/>
            <w:r>
              <w:rPr>
                <w:rFonts w:ascii="Arial" w:hAnsi="Arial" w:cs="Arial" w:eastAsia="Arial"/>
                <w:b w:val="0"/>
                <w:color w:val="1F2937"/>
                <w:sz w:val="22"/>
              </w:rPr>
              <w:t>Frontend (planned, Phase 9)</w:t>
            </w:r>
          </w:p>
        </w:tc>
        <w:tc>
          <w:tcPr>
            <w:tcW w:type="dxa" w:w="5386"/>
            <w:vAlign w:val="center"/>
          </w:tcPr>
          <w:p>
            <w:pPr>
              <w:spacing w:after="40" w:before="40"/>
              <w:jc w:val="left"/>
            </w:pPr>
            <w:r/>
            <w:r>
              <w:rPr>
                <w:rFonts w:ascii="Arial" w:hAnsi="Arial" w:cs="Arial" w:eastAsia="Arial"/>
                <w:b w:val="0"/>
                <w:color w:val="1F2937"/>
                <w:sz w:val="22"/>
              </w:rPr>
              <w:t>Next.js 14  ·  Tailwind  ·  Shadcn-ui  ·  Zustand</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20</w:t>
            </w:r>
          </w:p>
        </w:tc>
        <w:tc>
          <w:tcPr>
            <w:tcW w:type="dxa" w:w="3288"/>
            <w:vAlign w:val="center"/>
            <w:shd w:val="clear" w:color="auto" w:fill="F8FAFC"/>
          </w:tcPr>
          <w:p>
            <w:pPr>
              <w:spacing w:after="40" w:before="40"/>
              <w:jc w:val="left"/>
            </w:pPr>
            <w:r/>
            <w:r>
              <w:rPr>
                <w:rFonts w:ascii="Arial" w:hAnsi="Arial" w:cs="Arial" w:eastAsia="Arial"/>
                <w:b w:val="0"/>
                <w:color w:val="1F2937"/>
                <w:sz w:val="22"/>
              </w:rPr>
              <w:t>Code-quality gates</w:t>
            </w:r>
          </w:p>
        </w:tc>
        <w:tc>
          <w:tcPr>
            <w:tcW w:type="dxa" w:w="5386"/>
            <w:vAlign w:val="center"/>
            <w:shd w:val="clear" w:color="auto" w:fill="F8FAFC"/>
          </w:tcPr>
          <w:p>
            <w:pPr>
              <w:spacing w:after="40" w:before="40"/>
              <w:jc w:val="left"/>
            </w:pPr>
            <w:r/>
            <w:r>
              <w:rPr>
                <w:rFonts w:ascii="Arial" w:hAnsi="Arial" w:cs="Arial" w:eastAsia="Arial"/>
                <w:b w:val="0"/>
                <w:color w:val="1F2937"/>
                <w:sz w:val="22"/>
              </w:rPr>
              <w:t>ruff (lint)  ·  mypy strict (types)  ·  pytest with coverage gate ≥ 80%</w:t>
            </w:r>
          </w:p>
        </w:tc>
      </w:tr>
      <w:tr>
        <w:tc>
          <w:tcPr>
            <w:tcW w:type="dxa" w:w="510"/>
            <w:vAlign w:val="center"/>
          </w:tcPr>
          <w:p>
            <w:pPr>
              <w:spacing w:after="40" w:before="40"/>
              <w:jc w:val="left"/>
            </w:pPr>
            <w:r/>
            <w:r>
              <w:rPr>
                <w:rFonts w:ascii="Arial" w:hAnsi="Arial" w:cs="Arial" w:eastAsia="Arial"/>
                <w:b w:val="0"/>
                <w:color w:val="1F2937"/>
                <w:sz w:val="22"/>
              </w:rPr>
              <w:t>21</w:t>
            </w:r>
          </w:p>
        </w:tc>
        <w:tc>
          <w:tcPr>
            <w:tcW w:type="dxa" w:w="3288"/>
            <w:vAlign w:val="center"/>
          </w:tcPr>
          <w:p>
            <w:pPr>
              <w:spacing w:after="40" w:before="40"/>
              <w:jc w:val="left"/>
            </w:pPr>
            <w:r/>
            <w:r>
              <w:rPr>
                <w:rFonts w:ascii="Arial" w:hAnsi="Arial" w:cs="Arial" w:eastAsia="Arial"/>
                <w:b w:val="0"/>
                <w:color w:val="1F2937"/>
                <w:sz w:val="22"/>
              </w:rPr>
              <w:t>Cumulative LLM development spend</w:t>
            </w:r>
          </w:p>
        </w:tc>
        <w:tc>
          <w:tcPr>
            <w:tcW w:type="dxa" w:w="5386"/>
            <w:vAlign w:val="center"/>
          </w:tcPr>
          <w:p>
            <w:pPr>
              <w:spacing w:after="40" w:before="40"/>
              <w:jc w:val="left"/>
            </w:pPr>
            <w:r/>
            <w:r>
              <w:rPr>
                <w:rFonts w:ascii="Arial" w:hAnsi="Arial" w:cs="Arial" w:eastAsia="Arial"/>
                <w:b w:val="0"/>
                <w:color w:val="1F2937"/>
                <w:sz w:val="22"/>
              </w:rPr>
              <w:t>Approximately $0.10 across all phases to date</w:t>
            </w:r>
          </w:p>
        </w:tc>
      </w:tr>
    </w:tbl>
    <w:p>
      <w:pPr>
        <w:spacing w:after="80" w:before="80" w:line="288" w:lineRule="auto"/>
        <w:jc w:val="center"/>
      </w:pPr>
      <w:r>
        <w:rPr>
          <w:rFonts w:ascii="Arial" w:hAnsi="Arial" w:cs="Arial" w:eastAsia="Arial"/>
          <w:b/>
          <w:color w:val="1F2937"/>
          <w:sz w:val="24"/>
        </w:rPr>
        <w:t>Table 1.  Major Technical Specifications</w:t>
      </w:r>
    </w:p>
    <w:p>
      <w:r>
        <w:br w:type="page"/>
      </w:r>
    </w:p>
    <w:p>
      <w:pPr>
        <w:keepNext/>
        <w:spacing w:before="320" w:after="120"/>
      </w:pPr>
      <w:r>
        <w:rPr>
          <w:rFonts w:ascii="Arial" w:hAnsi="Arial" w:cs="Arial" w:eastAsia="Arial"/>
          <w:b/>
          <w:color w:val="1E3A8A"/>
          <w:sz w:val="28"/>
        </w:rPr>
        <w:t>4.  Design Considerations</w:t>
      </w:r>
    </w:p>
    <w:p>
      <w:pPr>
        <w:pStyle w:val="ListBullet"/>
        <w:spacing w:after="100" w:line="300" w:lineRule="auto"/>
        <w:jc w:val="both"/>
      </w:pPr>
      <w:r>
        <w:rPr>
          <w:rFonts w:ascii="Arial" w:hAnsi="Arial" w:cs="Arial" w:eastAsia="Arial"/>
          <w:b w:val="0"/>
          <w:color w:val="1F2937"/>
          <w:sz w:val="24"/>
        </w:rPr>
        <w:t>Open-source first: no paid LLM API lock-in for the core pipeline; Anthropic and OpenAI usage is for accuracy / cost discipline, not because the system depends on a proprietary model.</w:t>
      </w:r>
    </w:p>
    <w:p>
      <w:pPr>
        <w:pStyle w:val="ListBullet"/>
        <w:spacing w:after="100" w:line="300" w:lineRule="auto"/>
        <w:jc w:val="both"/>
      </w:pPr>
      <w:r>
        <w:rPr>
          <w:rFonts w:ascii="Arial" w:hAnsi="Arial" w:cs="Arial" w:eastAsia="Arial"/>
          <w:b w:val="0"/>
          <w:color w:val="1F2937"/>
          <w:sz w:val="24"/>
        </w:rPr>
        <w:t>Deterministic temporal reasoning: ISO date arithmetic is computed in Python, not delegated to the language model, so the same query produces byte-identical predicates across runs.</w:t>
      </w:r>
    </w:p>
    <w:p>
      <w:pPr>
        <w:pStyle w:val="ListBullet"/>
        <w:spacing w:after="100" w:line="300" w:lineRule="auto"/>
        <w:jc w:val="both"/>
      </w:pPr>
      <w:r>
        <w:rPr>
          <w:rFonts w:ascii="Arial" w:hAnsi="Arial" w:cs="Arial" w:eastAsia="Arial"/>
          <w:b w:val="0"/>
          <w:color w:val="1F2937"/>
          <w:sz w:val="24"/>
        </w:rPr>
        <w:t>Abstract-syntax-tree SQL manipulation: every rewrite (CTE composition, RBAC injection, validator parse) goes through sqlglot rather than regex; this guarantees that a company_id predicate added for a CTE-local alias does not leak to the outer SELECT.</w:t>
      </w:r>
    </w:p>
    <w:p>
      <w:pPr>
        <w:pStyle w:val="ListBullet"/>
        <w:spacing w:after="100" w:line="300" w:lineRule="auto"/>
        <w:jc w:val="both"/>
      </w:pPr>
      <w:r>
        <w:rPr>
          <w:rFonts w:ascii="Arial" w:hAnsi="Arial" w:cs="Arial" w:eastAsia="Arial"/>
          <w:b w:val="0"/>
          <w:color w:val="1F2937"/>
          <w:sz w:val="24"/>
        </w:rPr>
        <w:t>Source-routed self-correction: when validation fails, the error and the prior fragment are sent back only to the agent that produced the broken fragment, not to a global retry. This bounds token cost and improves convergence.</w:t>
      </w:r>
    </w:p>
    <w:p>
      <w:pPr>
        <w:pStyle w:val="ListBullet"/>
        <w:spacing w:after="100" w:line="300" w:lineRule="auto"/>
        <w:jc w:val="both"/>
      </w:pPr>
      <w:r>
        <w:rPr>
          <w:rFonts w:ascii="Arial" w:hAnsi="Arial" w:cs="Arial" w:eastAsia="Arial"/>
          <w:b w:val="0"/>
          <w:color w:val="1F2937"/>
          <w:sz w:val="24"/>
        </w:rPr>
        <w:t>Audit log: every Router decision, agent output, Composer join strategy, Compliance predicate injection and Validator report is recorded in a structured MessageLog with a correlation ID, satisfying enterprise auditability requirements without extra instrumentation.</w:t>
      </w:r>
    </w:p>
    <w:p>
      <w:pPr>
        <w:pStyle w:val="ListBullet"/>
        <w:spacing w:after="100" w:line="300" w:lineRule="auto"/>
        <w:jc w:val="both"/>
      </w:pPr>
      <w:r>
        <w:rPr>
          <w:rFonts w:ascii="Arial" w:hAnsi="Arial" w:cs="Arial" w:eastAsia="Arial"/>
          <w:b w:val="0"/>
          <w:color w:val="1F2937"/>
          <w:sz w:val="24"/>
        </w:rPr>
        <w:t>Single-laptop reproducibility: the entire stack — PostgreSQL with Odoo, Redis, DuckDB, the FastAPI backend and the Next.js frontend — starts with one Docker Compose command. The benchmark and evaluation reproduce on the same hardware.</w:t>
      </w:r>
    </w:p>
    <w:p>
      <w:pPr>
        <w:pStyle w:val="ListBullet"/>
        <w:spacing w:after="100" w:line="300" w:lineRule="auto"/>
        <w:jc w:val="both"/>
      </w:pPr>
      <w:r>
        <w:rPr>
          <w:rFonts w:ascii="Arial" w:hAnsi="Arial" w:cs="Arial" w:eastAsia="Arial"/>
          <w:b w:val="0"/>
          <w:color w:val="1F2937"/>
          <w:sz w:val="24"/>
        </w:rPr>
        <w:t>Coverage gate ≥ 80 %: pyproject.toml fails any commit that drops branch coverage below the eighty-per-cent line; current coverage is eighty-seven per cent across 210 unit tests.</w:t>
      </w:r>
    </w:p>
    <w:p>
      <w:pPr>
        <w:pStyle w:val="ListBullet"/>
        <w:spacing w:after="100" w:line="300" w:lineRule="auto"/>
        <w:jc w:val="both"/>
      </w:pPr>
      <w:r>
        <w:rPr>
          <w:rFonts w:ascii="Arial" w:hAnsi="Arial" w:cs="Arial" w:eastAsia="Arial"/>
          <w:b w:val="0"/>
          <w:color w:val="1F2937"/>
          <w:sz w:val="24"/>
        </w:rPr>
        <w:t>Mid-semester checkpoint discipline: the system is required to demonstrate the full pipeline (router → agents → composer → compliance → validator → execution) for at least one representative cross-domain query by the midterm deadline. This was met four weeks early — phases one through seven of ten are complete, and four representative queries pass live Postgres EXPLAIN.</w:t>
      </w:r>
    </w:p>
    <w:p>
      <w:r>
        <w:br w:type="page"/>
      </w:r>
    </w:p>
    <w:p>
      <w:pPr>
        <w:keepNext/>
        <w:spacing w:before="320" w:after="120"/>
      </w:pPr>
      <w:r>
        <w:rPr>
          <w:rFonts w:ascii="Arial" w:hAnsi="Arial" w:cs="Arial" w:eastAsia="Arial"/>
          <w:b/>
          <w:color w:val="1E3A8A"/>
          <w:sz w:val="28"/>
        </w:rPr>
        <w:t>4.5  Implementation Status and Evaluation Plan</w:t>
      </w:r>
    </w:p>
    <w:p>
      <w:pPr>
        <w:spacing w:after="200" w:before="0" w:line="288" w:lineRule="auto"/>
        <w:jc w:val="left"/>
      </w:pPr>
      <w:r>
        <w:rPr>
          <w:rFonts w:ascii="Arial" w:hAnsi="Arial" w:cs="Arial" w:eastAsia="Arial"/>
          <w:b w:val="0"/>
          <w:color w:val="1F2937"/>
          <w:sz w:val="24"/>
        </w:rPr>
        <w:t>This section addresses the outline-viva panel's feedback on evaluation rigour, benchmark relevance, architectural detail, and a working demonstration. Four companion documents in the repository expand each topic in full; the summaries below capture the substance needed for the mid-semester review.</w:t>
      </w:r>
    </w:p>
    <w:p>
      <w:pPr>
        <w:spacing w:after="80" w:before="160" w:line="288" w:lineRule="auto"/>
        <w:jc w:val="left"/>
      </w:pPr>
      <w:r>
        <w:rPr>
          <w:rFonts w:ascii="Arial" w:hAnsi="Arial" w:cs="Arial" w:eastAsia="Arial"/>
          <w:b/>
          <w:color w:val="1E3A8A"/>
          <w:sz w:val="28"/>
        </w:rPr>
        <w:t>Implementation status (mid-semester snapshot)</w:t>
      </w:r>
    </w:p>
    <w:p>
      <w:pPr>
        <w:spacing w:after="160" w:before="0" w:line="288" w:lineRule="auto"/>
        <w:jc w:val="left"/>
      </w:pPr>
      <w:r>
        <w:rPr>
          <w:rFonts w:ascii="Arial" w:hAnsi="Arial" w:cs="Arial" w:eastAsia="Arial"/>
          <w:b w:val="0"/>
          <w:color w:val="1F2937"/>
          <w:sz w:val="24"/>
        </w:rPr>
        <w:t>Seven of ten planned phases are complete; an additional evaluation-engineering pass has been delivered on top, comprising (i) the 50-query SCM-SQL pilot expanded to 100 queries (113 paired records when multi-turn turns are expanded individually), (ii) a Sonnet LLM-scaling ablation, (iii) Spider 1.0 and BIRD generic-mode sanity checks, (iv) a full BIRD-dev head-to-head with real Execution Accuracy against live SQLite databases, and (v) a working Next.js + FastAPI prototype. The system runs end-to-end against the live 498-table Odoo PostgreSQL database. 230 unit tests plus three FastAPI gateway tests pass. Cumulative development LLM spend to date is approximately one US dollar across all benchmark runs.</w:t>
      </w:r>
    </w:p>
    <w:p>
      <w:pPr>
        <w:spacing w:after="80" w:before="200" w:line="288" w:lineRule="auto"/>
        <w:jc w:val="left"/>
      </w:pPr>
      <w:r>
        <w:rPr>
          <w:rFonts w:ascii="Arial" w:hAnsi="Arial" w:cs="Arial" w:eastAsia="Arial"/>
          <w:b/>
          <w:color w:val="1E3A8A"/>
          <w:sz w:val="28"/>
        </w:rPr>
        <w:t>Evaluation framework  (full document: docs/eval/EVALUATION_FRAMEWORK.md)</w:t>
      </w:r>
    </w:p>
    <w:p>
      <w:pPr>
        <w:spacing w:after="160" w:before="0" w:line="288" w:lineRule="auto"/>
        <w:jc w:val="left"/>
      </w:pPr>
      <w:r>
        <w:rPr>
          <w:rFonts w:ascii="Arial" w:hAnsi="Arial" w:cs="Arial" w:eastAsia="Arial"/>
          <w:b w:val="0"/>
          <w:color w:val="1F2937"/>
          <w:sz w:val="24"/>
        </w:rPr>
        <w:t>Three metrics with formal definitions: Execution Accuracy (EX), Valid Efficiency Score (VES per BIRD's formula), and Exact Match (EM via sqlglot canonical normalisation). All baselines run with the same claude-haiku-4-5 LLM backbone so the architecture is the only variable; this same-backbone fairness contract is documented in §5 of the companion file.</w:t>
      </w:r>
    </w:p>
    <w:p>
      <w:pPr>
        <w:spacing w:after="80" w:before="120" w:line="288" w:lineRule="auto"/>
        <w:jc w:val="left"/>
      </w:pPr>
      <w:r>
        <w:rPr>
          <w:rFonts w:ascii="Arial" w:hAnsi="Arial" w:cs="Arial" w:eastAsia="Arial"/>
          <w:b/>
          <w:color w:val="1E3A8A"/>
          <w:sz w:val="24"/>
        </w:rPr>
        <w:t>Numerical commitments  (from EVALUATION_FRAMEWORK §11)</w:t>
      </w:r>
    </w:p>
    <w:tbl>
      <w:tblPr>
        <w:tblStyle w:val="TableGrid"/>
        <w:tblW w:type="auto" w:w="0"/>
        <w:jc w:val="center"/>
        <w:tblLook w:firstColumn="1" w:firstRow="1" w:lastColumn="0" w:lastRow="0" w:noHBand="0" w:noVBand="1" w:val="04A0"/>
      </w:tblPr>
      <w:tblGrid>
        <w:gridCol w:w="3137"/>
        <w:gridCol w:w="3137"/>
        <w:gridCol w:w="3137"/>
      </w:tblGrid>
      <w:tr>
        <w:tc>
          <w:tcPr>
            <w:tcW w:type="dxa" w:w="510"/>
            <w:vAlign w:val="center"/>
            <w:shd w:val="clear" w:color="auto" w:fill="1E3A8A"/>
          </w:tcPr>
          <w:p>
            <w:pPr>
              <w:spacing w:after="40" w:before="40"/>
              <w:jc w:val="left"/>
            </w:pPr>
            <w:r/>
            <w:r>
              <w:rPr>
                <w:rFonts w:ascii="Arial" w:hAnsi="Arial" w:cs="Arial" w:eastAsia="Arial"/>
                <w:b/>
                <w:color w:val="FFFFFF"/>
                <w:sz w:val="22"/>
              </w:rPr>
              <w:t>#</w:t>
            </w:r>
          </w:p>
        </w:tc>
        <w:tc>
          <w:tcPr>
            <w:tcW w:type="dxa" w:w="4535"/>
            <w:vAlign w:val="center"/>
            <w:shd w:val="clear" w:color="auto" w:fill="1E3A8A"/>
          </w:tcPr>
          <w:p>
            <w:pPr>
              <w:spacing w:after="40" w:before="40"/>
              <w:jc w:val="left"/>
            </w:pPr>
            <w:r/>
            <w:r>
              <w:rPr>
                <w:rFonts w:ascii="Arial" w:hAnsi="Arial" w:cs="Arial" w:eastAsia="Arial"/>
                <w:b/>
                <w:color w:val="FFFFFF"/>
                <w:sz w:val="22"/>
              </w:rPr>
              <w:t>Target</w:t>
            </w:r>
          </w:p>
        </w:tc>
        <w:tc>
          <w:tcPr>
            <w:tcW w:type="dxa" w:w="4252"/>
            <w:vAlign w:val="center"/>
            <w:shd w:val="clear" w:color="auto" w:fill="1E3A8A"/>
          </w:tcPr>
          <w:p>
            <w:pPr>
              <w:spacing w:after="40" w:before="40"/>
              <w:jc w:val="left"/>
            </w:pPr>
            <w:r/>
            <w:r>
              <w:rPr>
                <w:rFonts w:ascii="Arial" w:hAnsi="Arial" w:cs="Arial" w:eastAsia="Arial"/>
                <w:b/>
                <w:color w:val="FFFFFF"/>
                <w:sz w:val="22"/>
              </w:rPr>
              <w:t>Threshold</w:t>
            </w:r>
          </w:p>
        </w:tc>
      </w:tr>
      <w:tr>
        <w:tc>
          <w:tcPr>
            <w:tcW w:type="dxa" w:w="510"/>
            <w:vAlign w:val="center"/>
          </w:tcPr>
          <w:p>
            <w:pPr>
              <w:spacing w:after="40" w:before="40"/>
              <w:jc w:val="left"/>
            </w:pPr>
            <w:r/>
            <w:r>
              <w:rPr>
                <w:rFonts w:ascii="Arial" w:hAnsi="Arial" w:cs="Arial" w:eastAsia="Arial"/>
                <w:b w:val="0"/>
                <w:color w:val="1F2937"/>
                <w:sz w:val="22"/>
              </w:rPr>
              <w:t>1</w:t>
            </w:r>
          </w:p>
        </w:tc>
        <w:tc>
          <w:tcPr>
            <w:tcW w:type="dxa" w:w="4535"/>
            <w:vAlign w:val="center"/>
          </w:tcPr>
          <w:p>
            <w:pPr>
              <w:spacing w:after="40" w:before="40"/>
              <w:jc w:val="left"/>
            </w:pPr>
            <w:r/>
            <w:r>
              <w:rPr>
                <w:rFonts w:ascii="Arial" w:hAnsi="Arial" w:cs="Arial" w:eastAsia="Arial"/>
                <w:b w:val="0"/>
                <w:color w:val="1F2937"/>
                <w:sz w:val="22"/>
              </w:rPr>
              <w:t>Overall Execution Accuracy on SCM-SQL</w:t>
            </w:r>
          </w:p>
        </w:tc>
        <w:tc>
          <w:tcPr>
            <w:tcW w:type="dxa" w:w="4252"/>
            <w:vAlign w:val="center"/>
          </w:tcPr>
          <w:p>
            <w:pPr>
              <w:spacing w:after="40" w:before="40"/>
              <w:jc w:val="left"/>
            </w:pPr>
            <w:r/>
            <w:r>
              <w:rPr>
                <w:rFonts w:ascii="Arial" w:hAnsi="Arial" w:cs="Arial" w:eastAsia="Arial"/>
                <w:b w:val="0"/>
                <w:color w:val="1F2937"/>
                <w:sz w:val="22"/>
              </w:rPr>
              <w:t>≥ 60 %</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2</w:t>
            </w:r>
          </w:p>
        </w:tc>
        <w:tc>
          <w:tcPr>
            <w:tcW w:type="dxa" w:w="4535"/>
            <w:vAlign w:val="center"/>
            <w:shd w:val="clear" w:color="auto" w:fill="F8FAFC"/>
          </w:tcPr>
          <w:p>
            <w:pPr>
              <w:spacing w:after="40" w:before="40"/>
              <w:jc w:val="left"/>
            </w:pPr>
            <w:r/>
            <w:r>
              <w:rPr>
                <w:rFonts w:ascii="Arial" w:hAnsi="Arial" w:cs="Arial" w:eastAsia="Arial"/>
                <w:b w:val="0"/>
                <w:color w:val="1F2937"/>
                <w:sz w:val="22"/>
              </w:rPr>
              <w:t>EX lift versus MAC-SQL on Levels 3-6</w:t>
            </w:r>
          </w:p>
        </w:tc>
        <w:tc>
          <w:tcPr>
            <w:tcW w:type="dxa" w:w="4252"/>
            <w:vAlign w:val="center"/>
            <w:shd w:val="clear" w:color="auto" w:fill="F8FAFC"/>
          </w:tcPr>
          <w:p>
            <w:pPr>
              <w:spacing w:after="40" w:before="40"/>
              <w:jc w:val="left"/>
            </w:pPr>
            <w:r/>
            <w:r>
              <w:rPr>
                <w:rFonts w:ascii="Arial" w:hAnsi="Arial" w:cs="Arial" w:eastAsia="Arial"/>
                <w:b w:val="0"/>
                <w:color w:val="1F2937"/>
                <w:sz w:val="22"/>
              </w:rPr>
              <w:t>≥ 10 percentage points</w:t>
            </w:r>
          </w:p>
        </w:tc>
      </w:tr>
      <w:tr>
        <w:tc>
          <w:tcPr>
            <w:tcW w:type="dxa" w:w="510"/>
            <w:vAlign w:val="center"/>
          </w:tcPr>
          <w:p>
            <w:pPr>
              <w:spacing w:after="40" w:before="40"/>
              <w:jc w:val="left"/>
            </w:pPr>
            <w:r/>
            <w:r>
              <w:rPr>
                <w:rFonts w:ascii="Arial" w:hAnsi="Arial" w:cs="Arial" w:eastAsia="Arial"/>
                <w:b w:val="0"/>
                <w:color w:val="1F2937"/>
                <w:sz w:val="22"/>
              </w:rPr>
              <w:t>3</w:t>
            </w:r>
          </w:p>
        </w:tc>
        <w:tc>
          <w:tcPr>
            <w:tcW w:type="dxa" w:w="4535"/>
            <w:vAlign w:val="center"/>
          </w:tcPr>
          <w:p>
            <w:pPr>
              <w:spacing w:after="40" w:before="40"/>
              <w:jc w:val="left"/>
            </w:pPr>
            <w:r/>
            <w:r>
              <w:rPr>
                <w:rFonts w:ascii="Arial" w:hAnsi="Arial" w:cs="Arial" w:eastAsia="Arial"/>
                <w:b w:val="0"/>
                <w:color w:val="1F2937"/>
                <w:sz w:val="22"/>
              </w:rPr>
              <w:t>Cliff's δ versus MAC-SQL on Levels 3-6</w:t>
            </w:r>
          </w:p>
        </w:tc>
        <w:tc>
          <w:tcPr>
            <w:tcW w:type="dxa" w:w="4252"/>
            <w:vAlign w:val="center"/>
          </w:tcPr>
          <w:p>
            <w:pPr>
              <w:spacing w:after="40" w:before="40"/>
              <w:jc w:val="left"/>
            </w:pPr>
            <w:r/>
            <w:r>
              <w:rPr>
                <w:rFonts w:ascii="Arial" w:hAnsi="Arial" w:cs="Arial" w:eastAsia="Arial"/>
                <w:b w:val="0"/>
                <w:color w:val="1F2937"/>
                <w:sz w:val="22"/>
              </w:rPr>
              <w:t>≥ 0.33  (medium effect)</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4</w:t>
            </w:r>
          </w:p>
        </w:tc>
        <w:tc>
          <w:tcPr>
            <w:tcW w:type="dxa" w:w="4535"/>
            <w:vAlign w:val="center"/>
            <w:shd w:val="clear" w:color="auto" w:fill="F8FAFC"/>
          </w:tcPr>
          <w:p>
            <w:pPr>
              <w:spacing w:after="40" w:before="40"/>
              <w:jc w:val="left"/>
            </w:pPr>
            <w:r/>
            <w:r>
              <w:rPr>
                <w:rFonts w:ascii="Arial" w:hAnsi="Arial" w:cs="Arial" w:eastAsia="Arial"/>
                <w:b w:val="0"/>
                <w:color w:val="1F2937"/>
                <w:sz w:val="22"/>
              </w:rPr>
              <w:t>Bonferroni-corrected p versus MAC-SQL</w:t>
            </w:r>
          </w:p>
        </w:tc>
        <w:tc>
          <w:tcPr>
            <w:tcW w:type="dxa" w:w="4252"/>
            <w:vAlign w:val="center"/>
            <w:shd w:val="clear" w:color="auto" w:fill="F8FAFC"/>
          </w:tcPr>
          <w:p>
            <w:pPr>
              <w:spacing w:after="40" w:before="40"/>
              <w:jc w:val="left"/>
            </w:pPr>
            <w:r/>
            <w:r>
              <w:rPr>
                <w:rFonts w:ascii="Arial" w:hAnsi="Arial" w:cs="Arial" w:eastAsia="Arial"/>
                <w:b w:val="0"/>
                <w:color w:val="1F2937"/>
                <w:sz w:val="22"/>
              </w:rPr>
              <w:t>≤ 0.05</w:t>
            </w:r>
          </w:p>
        </w:tc>
      </w:tr>
      <w:tr>
        <w:tc>
          <w:tcPr>
            <w:tcW w:type="dxa" w:w="510"/>
            <w:vAlign w:val="center"/>
          </w:tcPr>
          <w:p>
            <w:pPr>
              <w:spacing w:after="40" w:before="40"/>
              <w:jc w:val="left"/>
            </w:pPr>
            <w:r/>
            <w:r>
              <w:rPr>
                <w:rFonts w:ascii="Arial" w:hAnsi="Arial" w:cs="Arial" w:eastAsia="Arial"/>
                <w:b w:val="0"/>
                <w:color w:val="1F2937"/>
                <w:sz w:val="22"/>
              </w:rPr>
              <w:t>5</w:t>
            </w:r>
          </w:p>
        </w:tc>
        <w:tc>
          <w:tcPr>
            <w:tcW w:type="dxa" w:w="4535"/>
            <w:vAlign w:val="center"/>
          </w:tcPr>
          <w:p>
            <w:pPr>
              <w:spacing w:after="40" w:before="40"/>
              <w:jc w:val="left"/>
            </w:pPr>
            <w:r/>
            <w:r>
              <w:rPr>
                <w:rFonts w:ascii="Arial" w:hAnsi="Arial" w:cs="Arial" w:eastAsia="Arial"/>
                <w:b w:val="0"/>
                <w:color w:val="1F2937"/>
                <w:sz w:val="22"/>
              </w:rPr>
              <w:t>VES versus MAC-SQL</w:t>
            </w:r>
          </w:p>
        </w:tc>
        <w:tc>
          <w:tcPr>
            <w:tcW w:type="dxa" w:w="4252"/>
            <w:vAlign w:val="center"/>
          </w:tcPr>
          <w:p>
            <w:pPr>
              <w:spacing w:after="40" w:before="40"/>
              <w:jc w:val="left"/>
            </w:pPr>
            <w:r/>
            <w:r>
              <w:rPr>
                <w:rFonts w:ascii="Arial" w:hAnsi="Arial" w:cs="Arial" w:eastAsia="Arial"/>
                <w:b w:val="0"/>
                <w:color w:val="1F2937"/>
                <w:sz w:val="22"/>
              </w:rPr>
              <w:t>within 0.05</w:t>
            </w:r>
          </w:p>
        </w:tc>
      </w:tr>
      <w:tr>
        <w:tc>
          <w:tcPr>
            <w:tcW w:type="dxa" w:w="510"/>
            <w:vAlign w:val="center"/>
            <w:shd w:val="clear" w:color="auto" w:fill="F8FAFC"/>
          </w:tcPr>
          <w:p>
            <w:pPr>
              <w:spacing w:after="40" w:before="40"/>
              <w:jc w:val="left"/>
            </w:pPr>
            <w:r/>
            <w:r>
              <w:rPr>
                <w:rFonts w:ascii="Arial" w:hAnsi="Arial" w:cs="Arial" w:eastAsia="Arial"/>
                <w:b w:val="0"/>
                <w:color w:val="1F2937"/>
                <w:sz w:val="22"/>
              </w:rPr>
              <w:t>6</w:t>
            </w:r>
          </w:p>
        </w:tc>
        <w:tc>
          <w:tcPr>
            <w:tcW w:type="dxa" w:w="4535"/>
            <w:vAlign w:val="center"/>
            <w:shd w:val="clear" w:color="auto" w:fill="F8FAFC"/>
          </w:tcPr>
          <w:p>
            <w:pPr>
              <w:spacing w:after="40" w:before="40"/>
              <w:jc w:val="left"/>
            </w:pPr>
            <w:r/>
            <w:r>
              <w:rPr>
                <w:rFonts w:ascii="Arial" w:hAnsi="Arial" w:cs="Arial" w:eastAsia="Arial"/>
                <w:b w:val="0"/>
                <w:color w:val="1F2937"/>
                <w:sz w:val="22"/>
              </w:rPr>
              <w:t>Self-correction recovery rate</w:t>
            </w:r>
          </w:p>
        </w:tc>
        <w:tc>
          <w:tcPr>
            <w:tcW w:type="dxa" w:w="4252"/>
            <w:vAlign w:val="center"/>
            <w:shd w:val="clear" w:color="auto" w:fill="F8FAFC"/>
          </w:tcPr>
          <w:p>
            <w:pPr>
              <w:spacing w:after="40" w:before="40"/>
              <w:jc w:val="left"/>
            </w:pPr>
            <w:r/>
            <w:r>
              <w:rPr>
                <w:rFonts w:ascii="Arial" w:hAnsi="Arial" w:cs="Arial" w:eastAsia="Arial"/>
                <w:b w:val="0"/>
                <w:color w:val="1F2937"/>
                <w:sz w:val="22"/>
              </w:rPr>
              <w:t>≥ 15 % of initially-failing predictions</w:t>
            </w:r>
          </w:p>
        </w:tc>
      </w:tr>
      <w:tr>
        <w:tc>
          <w:tcPr>
            <w:tcW w:type="dxa" w:w="510"/>
            <w:vAlign w:val="center"/>
          </w:tcPr>
          <w:p>
            <w:pPr>
              <w:spacing w:after="40" w:before="40"/>
              <w:jc w:val="left"/>
            </w:pPr>
            <w:r/>
            <w:r>
              <w:rPr>
                <w:rFonts w:ascii="Arial" w:hAnsi="Arial" w:cs="Arial" w:eastAsia="Arial"/>
                <w:b w:val="0"/>
                <w:color w:val="1F2937"/>
                <w:sz w:val="22"/>
              </w:rPr>
              <w:t>7</w:t>
            </w:r>
          </w:p>
        </w:tc>
        <w:tc>
          <w:tcPr>
            <w:tcW w:type="dxa" w:w="4535"/>
            <w:vAlign w:val="center"/>
          </w:tcPr>
          <w:p>
            <w:pPr>
              <w:spacing w:after="40" w:before="40"/>
              <w:jc w:val="left"/>
            </w:pPr>
            <w:r/>
            <w:r>
              <w:rPr>
                <w:rFonts w:ascii="Arial" w:hAnsi="Arial" w:cs="Arial" w:eastAsia="Arial"/>
                <w:b w:val="0"/>
                <w:color w:val="1F2937"/>
                <w:sz w:val="22"/>
              </w:rPr>
              <w:t>RBAC leaked rows under compliance evaluation</w:t>
            </w:r>
          </w:p>
        </w:tc>
        <w:tc>
          <w:tcPr>
            <w:tcW w:type="dxa" w:w="4252"/>
            <w:vAlign w:val="center"/>
          </w:tcPr>
          <w:p>
            <w:pPr>
              <w:spacing w:after="40" w:before="40"/>
              <w:jc w:val="left"/>
            </w:pPr>
            <w:r/>
            <w:r>
              <w:rPr>
                <w:rFonts w:ascii="Arial" w:hAnsi="Arial" w:cs="Arial" w:eastAsia="Arial"/>
                <w:b w:val="0"/>
                <w:color w:val="1F2937"/>
                <w:sz w:val="22"/>
              </w:rPr>
              <w:t>exactly 0</w:t>
            </w:r>
          </w:p>
        </w:tc>
      </w:tr>
    </w:tbl>
    <w:p>
      <w:pPr>
        <w:spacing w:after="160" w:before="80" w:line="288" w:lineRule="auto"/>
        <w:jc w:val="center"/>
      </w:pPr>
      <w:r>
        <w:rPr>
          <w:rFonts w:ascii="Arial" w:hAnsi="Arial" w:cs="Arial" w:eastAsia="Arial"/>
          <w:b/>
          <w:color w:val="1F2937"/>
          <w:sz w:val="24"/>
        </w:rPr>
        <w:t>Table 4.  Numerical commitments for final evaluation.</w:t>
      </w:r>
    </w:p>
    <w:p>
      <w:pPr>
        <w:spacing w:after="80" w:before="240" w:line="288" w:lineRule="auto"/>
        <w:jc w:val="left"/>
      </w:pPr>
      <w:r>
        <w:rPr>
          <w:rFonts w:ascii="Arial" w:hAnsi="Arial" w:cs="Arial" w:eastAsia="Arial"/>
          <w:b/>
          <w:color w:val="1E3A8A"/>
          <w:sz w:val="28"/>
        </w:rPr>
        <w:t>Benchmark relevance  (full document: docs/benchmark/BENCHMARK_COMPARISON.md)</w:t>
      </w:r>
    </w:p>
    <w:p>
      <w:pPr>
        <w:spacing w:after="160" w:before="0" w:line="288" w:lineRule="auto"/>
        <w:jc w:val="left"/>
      </w:pPr>
      <w:r>
        <w:rPr>
          <w:rFonts w:ascii="Arial" w:hAnsi="Arial" w:cs="Arial" w:eastAsia="Arial"/>
          <w:b w:val="0"/>
          <w:color w:val="1F2937"/>
          <w:sz w:val="24"/>
        </w:rPr>
        <w:t>Seven public NL-to-SQL benchmarks were surveyed: Spider, Spider 2.0, BIRD, BIRD-Ent, EHRSQL, WikiSQL, KaggleDBQA, plus TPC-DS for SQL-only execution stress-testing. None covers supply-chain vocabulary, fiscal-calendar dates, row-level security, federation, ambiguity resolution, or multi-turn dialogue. The VLDB 2025 NL2SQL survey by Luo et al. names supply chain as an unaddressed domain. EHRSQL (NAACL 2024) establishes the publication precedent for a domain-specific NL-to-SQL benchmark; SCM-SQL follows the same construction methodology for supply chain.</w:t>
      </w:r>
    </w:p>
    <w:p>
      <w:pPr>
        <w:spacing w:after="80" w:before="200" w:line="288" w:lineRule="auto"/>
        <w:jc w:val="left"/>
      </w:pPr>
      <w:r>
        <w:rPr>
          <w:rFonts w:ascii="Arial" w:hAnsi="Arial" w:cs="Arial" w:eastAsia="Arial"/>
          <w:b/>
          <w:color w:val="1E3A8A"/>
          <w:sz w:val="28"/>
        </w:rPr>
        <w:t>Architecture detail  (full document: docs/architecture/ROUTING_AND_FEDERATION.md)</w:t>
      </w:r>
    </w:p>
    <w:p>
      <w:pPr>
        <w:spacing w:after="160" w:before="0" w:line="288" w:lineRule="auto"/>
        <w:jc w:val="left"/>
      </w:pPr>
      <w:r>
        <w:rPr>
          <w:rFonts w:ascii="Arial" w:hAnsi="Arial" w:cs="Arial" w:eastAsia="Arial"/>
          <w:b w:val="0"/>
          <w:color w:val="1F2937"/>
          <w:sz w:val="24"/>
        </w:rPr>
        <w:t>The companion document walks through every mechanism the outline-viva panel asked about — domain classification, cross-domain data gathering, cross-DB federation — with concrete worked examples grounded in the actual code path. Five mechanisms are documented in full: (i) Router single-LLM-call decision with keyword-heuristic fallback, (ii) per-agent schema slicing with table allow-list enforcement, (iii) Composer CTE wrapping with shared-key INNER JOIN versus CROSS JOIN fallback, (iv) Compliance AST traversal with per-SELECT scope, and (v) source-routed self-correction (capped at three attempts).</w:t>
      </w:r>
    </w:p>
    <w:p>
      <w:pPr>
        <w:spacing w:after="80" w:before="200" w:line="288" w:lineRule="auto"/>
        <w:jc w:val="left"/>
      </w:pPr>
      <w:r>
        <w:rPr>
          <w:rFonts w:ascii="Arial" w:hAnsi="Arial" w:cs="Arial" w:eastAsia="Arial"/>
          <w:b/>
          <w:color w:val="1E3A8A"/>
          <w:sz w:val="28"/>
        </w:rPr>
        <w:t>MAC-SQL head-to-head comparison  (full document: docs/benchmark/MAC_SQL_HEAD_TO_HEAD.md)</w:t>
      </w:r>
    </w:p>
    <w:p>
      <w:pPr>
        <w:spacing w:after="120" w:before="0" w:line="288" w:lineRule="auto"/>
        <w:jc w:val="left"/>
      </w:pPr>
      <w:r>
        <w:rPr>
          <w:rFonts w:ascii="Arial" w:hAnsi="Arial" w:cs="Arial" w:eastAsia="Arial"/>
          <w:b w:val="0"/>
          <w:color w:val="1F2937"/>
          <w:sz w:val="24"/>
        </w:rPr>
        <w:t>MAC-SQL (Wang et al., COLING 2025) is the closest published baseline — multi-agent, evaluated on Spider and BIRD, with an open implementation. The architectural difference is the decomposition axis: MAC-SQL decomposes by SQL pipeline stage (Selector → Decomposer → Refiner), this dissertation decomposes by business domain. The condensed comparison is Table 5 below; full 17-dimension version in the companion document.</w:t>
      </w:r>
    </w:p>
    <w:tbl>
      <w:tblPr>
        <w:tblStyle w:val="TableGrid"/>
        <w:tblW w:type="auto" w:w="0"/>
        <w:jc w:val="center"/>
        <w:tblLook w:firstColumn="1" w:firstRow="1" w:lastColumn="0" w:lastRow="0" w:noHBand="0" w:noVBand="1" w:val="04A0"/>
      </w:tblPr>
      <w:tblGrid>
        <w:gridCol w:w="3137"/>
        <w:gridCol w:w="3137"/>
        <w:gridCol w:w="3137"/>
      </w:tblGrid>
      <w:tr>
        <w:tc>
          <w:tcPr>
            <w:tcW w:type="dxa" w:w="2551"/>
            <w:vAlign w:val="center"/>
            <w:shd w:val="clear" w:color="auto" w:fill="1E3A8A"/>
          </w:tcPr>
          <w:p>
            <w:pPr>
              <w:spacing w:after="40" w:before="40"/>
              <w:jc w:val="left"/>
            </w:pPr>
            <w:r/>
            <w:r>
              <w:rPr>
                <w:rFonts w:ascii="Arial" w:hAnsi="Arial" w:cs="Arial" w:eastAsia="Arial"/>
                <w:b/>
                <w:color w:val="FFFFFF"/>
                <w:sz w:val="22"/>
              </w:rPr>
              <w:t>Dimension</w:t>
            </w:r>
          </w:p>
        </w:tc>
        <w:tc>
          <w:tcPr>
            <w:tcW w:type="dxa" w:w="3118"/>
            <w:vAlign w:val="center"/>
            <w:shd w:val="clear" w:color="auto" w:fill="1E3A8A"/>
          </w:tcPr>
          <w:p>
            <w:pPr>
              <w:spacing w:after="40" w:before="40"/>
              <w:jc w:val="left"/>
            </w:pPr>
            <w:r/>
            <w:r>
              <w:rPr>
                <w:rFonts w:ascii="Arial" w:hAnsi="Arial" w:cs="Arial" w:eastAsia="Arial"/>
                <w:b/>
                <w:color w:val="FFFFFF"/>
                <w:sz w:val="22"/>
              </w:rPr>
              <w:t>MAC-SQL (Wang et al., 2025)</w:t>
            </w:r>
          </w:p>
        </w:tc>
        <w:tc>
          <w:tcPr>
            <w:tcW w:type="dxa" w:w="3628"/>
            <w:vAlign w:val="center"/>
            <w:shd w:val="clear" w:color="auto" w:fill="1E3A8A"/>
          </w:tcPr>
          <w:p>
            <w:pPr>
              <w:spacing w:after="40" w:before="40"/>
              <w:jc w:val="left"/>
            </w:pPr>
            <w:r/>
            <w:r>
              <w:rPr>
                <w:rFonts w:ascii="Arial" w:hAnsi="Arial" w:cs="Arial" w:eastAsia="Arial"/>
                <w:b/>
                <w:color w:val="FFFFFF"/>
                <w:sz w:val="22"/>
              </w:rPr>
              <w:t>This dissertation</w:t>
            </w:r>
          </w:p>
        </w:tc>
      </w:tr>
      <w:tr>
        <w:tc>
          <w:tcPr>
            <w:tcW w:type="dxa" w:w="2551"/>
            <w:vAlign w:val="center"/>
          </w:tcPr>
          <w:p>
            <w:pPr>
              <w:spacing w:after="40" w:before="40"/>
              <w:jc w:val="left"/>
            </w:pPr>
            <w:r/>
            <w:r>
              <w:rPr>
                <w:rFonts w:ascii="Arial" w:hAnsi="Arial" w:cs="Arial" w:eastAsia="Arial"/>
                <w:b w:val="0"/>
                <w:color w:val="1F2937"/>
                <w:sz w:val="22"/>
              </w:rPr>
              <w:t>Decomposition axis</w:t>
            </w:r>
          </w:p>
        </w:tc>
        <w:tc>
          <w:tcPr>
            <w:tcW w:type="dxa" w:w="3118"/>
            <w:vAlign w:val="center"/>
          </w:tcPr>
          <w:p>
            <w:pPr>
              <w:spacing w:after="40" w:before="40"/>
              <w:jc w:val="left"/>
            </w:pPr>
            <w:r/>
            <w:r>
              <w:rPr>
                <w:rFonts w:ascii="Arial" w:hAnsi="Arial" w:cs="Arial" w:eastAsia="Arial"/>
                <w:b w:val="0"/>
                <w:color w:val="1F2937"/>
                <w:sz w:val="22"/>
              </w:rPr>
              <w:t>Pipeline stage</w:t>
            </w:r>
          </w:p>
        </w:tc>
        <w:tc>
          <w:tcPr>
            <w:tcW w:type="dxa" w:w="3628"/>
            <w:vAlign w:val="center"/>
          </w:tcPr>
          <w:p>
            <w:pPr>
              <w:spacing w:after="40" w:before="40"/>
              <w:jc w:val="left"/>
            </w:pPr>
            <w:r/>
            <w:r>
              <w:rPr>
                <w:rFonts w:ascii="Arial" w:hAnsi="Arial" w:cs="Arial" w:eastAsia="Arial"/>
                <w:b w:val="0"/>
                <w:color w:val="1F2937"/>
                <w:sz w:val="22"/>
              </w:rPr>
              <w:t>Business domain</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Number of LLM-driven agents</w:t>
            </w:r>
          </w:p>
        </w:tc>
        <w:tc>
          <w:tcPr>
            <w:tcW w:type="dxa" w:w="3118"/>
            <w:vAlign w:val="center"/>
            <w:shd w:val="clear" w:color="auto" w:fill="F8FAFC"/>
          </w:tcPr>
          <w:p>
            <w:pPr>
              <w:spacing w:after="40" w:before="40"/>
              <w:jc w:val="left"/>
            </w:pPr>
            <w:r/>
            <w:r>
              <w:rPr>
                <w:rFonts w:ascii="Arial" w:hAnsi="Arial" w:cs="Arial" w:eastAsia="Arial"/>
                <w:b w:val="0"/>
                <w:color w:val="1F2937"/>
                <w:sz w:val="22"/>
              </w:rPr>
              <w:t>3</w:t>
            </w:r>
          </w:p>
        </w:tc>
        <w:tc>
          <w:tcPr>
            <w:tcW w:type="dxa" w:w="3628"/>
            <w:vAlign w:val="center"/>
            <w:shd w:val="clear" w:color="auto" w:fill="F8FAFC"/>
          </w:tcPr>
          <w:p>
            <w:pPr>
              <w:spacing w:after="40" w:before="40"/>
              <w:jc w:val="left"/>
            </w:pPr>
            <w:r/>
            <w:r>
              <w:rPr>
                <w:rFonts w:ascii="Arial" w:hAnsi="Arial" w:cs="Arial" w:eastAsia="Arial"/>
                <w:b w:val="0"/>
                <w:color w:val="1F2937"/>
                <w:sz w:val="22"/>
              </w:rPr>
              <w:t>4 specialists  +  Router</w:t>
            </w:r>
          </w:p>
        </w:tc>
      </w:tr>
      <w:tr>
        <w:tc>
          <w:tcPr>
            <w:tcW w:type="dxa" w:w="2551"/>
            <w:vAlign w:val="center"/>
          </w:tcPr>
          <w:p>
            <w:pPr>
              <w:spacing w:after="40" w:before="40"/>
              <w:jc w:val="left"/>
            </w:pPr>
            <w:r/>
            <w:r>
              <w:rPr>
                <w:rFonts w:ascii="Arial" w:hAnsi="Arial" w:cs="Arial" w:eastAsia="Arial"/>
                <w:b w:val="0"/>
                <w:color w:val="1F2937"/>
                <w:sz w:val="22"/>
              </w:rPr>
              <w:t>Cross-domain handling</w:t>
            </w:r>
          </w:p>
        </w:tc>
        <w:tc>
          <w:tcPr>
            <w:tcW w:type="dxa" w:w="3118"/>
            <w:vAlign w:val="center"/>
          </w:tcPr>
          <w:p>
            <w:pPr>
              <w:spacing w:after="40" w:before="40"/>
              <w:jc w:val="left"/>
            </w:pPr>
            <w:r/>
            <w:r>
              <w:rPr>
                <w:rFonts w:ascii="Arial" w:hAnsi="Arial" w:cs="Arial" w:eastAsia="Arial"/>
                <w:b w:val="0"/>
                <w:color w:val="1F2937"/>
                <w:sz w:val="22"/>
              </w:rPr>
              <w:t>Implicit (whole query in one prompt)</w:t>
            </w:r>
          </w:p>
        </w:tc>
        <w:tc>
          <w:tcPr>
            <w:tcW w:type="dxa" w:w="3628"/>
            <w:vAlign w:val="center"/>
          </w:tcPr>
          <w:p>
            <w:pPr>
              <w:spacing w:after="40" w:before="40"/>
              <w:jc w:val="left"/>
            </w:pPr>
            <w:r/>
            <w:r>
              <w:rPr>
                <w:rFonts w:ascii="Arial" w:hAnsi="Arial" w:cs="Arial" w:eastAsia="Arial"/>
                <w:b w:val="0"/>
                <w:color w:val="1F2937"/>
                <w:sz w:val="22"/>
              </w:rPr>
              <w:t>Explicit AST CTE wrapping by Composer</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Cross-DB federation</w:t>
            </w:r>
          </w:p>
        </w:tc>
        <w:tc>
          <w:tcPr>
            <w:tcW w:type="dxa" w:w="3118"/>
            <w:vAlign w:val="center"/>
            <w:shd w:val="clear" w:color="auto" w:fill="F8FAFC"/>
          </w:tcPr>
          <w:p>
            <w:pPr>
              <w:spacing w:after="40" w:before="40"/>
              <w:jc w:val="left"/>
            </w:pPr>
            <w:r/>
            <w:r>
              <w:rPr>
                <w:rFonts w:ascii="Arial" w:hAnsi="Arial" w:cs="Arial" w:eastAsia="Arial"/>
                <w:b w:val="0"/>
                <w:color w:val="1F2937"/>
                <w:sz w:val="22"/>
              </w:rPr>
              <w:t>Not addressed</w:t>
            </w:r>
          </w:p>
        </w:tc>
        <w:tc>
          <w:tcPr>
            <w:tcW w:type="dxa" w:w="3628"/>
            <w:vAlign w:val="center"/>
            <w:shd w:val="clear" w:color="auto" w:fill="F8FAFC"/>
          </w:tcPr>
          <w:p>
            <w:pPr>
              <w:spacing w:after="40" w:before="40"/>
              <w:jc w:val="left"/>
            </w:pPr>
            <w:r/>
            <w:r>
              <w:rPr>
                <w:rFonts w:ascii="Arial" w:hAnsi="Arial" w:cs="Arial" w:eastAsia="Arial"/>
                <w:b w:val="0"/>
                <w:color w:val="1F2937"/>
                <w:sz w:val="22"/>
              </w:rPr>
              <w:t>PostgreSQL + DuckDB + Redis adapters (federation in Phase 8)</w:t>
            </w:r>
          </w:p>
        </w:tc>
      </w:tr>
      <w:tr>
        <w:tc>
          <w:tcPr>
            <w:tcW w:type="dxa" w:w="2551"/>
            <w:vAlign w:val="center"/>
          </w:tcPr>
          <w:p>
            <w:pPr>
              <w:spacing w:after="40" w:before="40"/>
              <w:jc w:val="left"/>
            </w:pPr>
            <w:r/>
            <w:r>
              <w:rPr>
                <w:rFonts w:ascii="Arial" w:hAnsi="Arial" w:cs="Arial" w:eastAsia="Arial"/>
                <w:b w:val="0"/>
                <w:color w:val="1F2937"/>
                <w:sz w:val="22"/>
              </w:rPr>
              <w:t>Temporal reasoning</w:t>
            </w:r>
          </w:p>
        </w:tc>
        <w:tc>
          <w:tcPr>
            <w:tcW w:type="dxa" w:w="3118"/>
            <w:vAlign w:val="center"/>
          </w:tcPr>
          <w:p>
            <w:pPr>
              <w:spacing w:after="40" w:before="40"/>
              <w:jc w:val="left"/>
            </w:pPr>
            <w:r/>
            <w:r>
              <w:rPr>
                <w:rFonts w:ascii="Arial" w:hAnsi="Arial" w:cs="Arial" w:eastAsia="Arial"/>
                <w:b w:val="0"/>
                <w:color w:val="1F2937"/>
                <w:sz w:val="22"/>
              </w:rPr>
              <w:t>LLM handles dates inside the prompt</w:t>
            </w:r>
          </w:p>
        </w:tc>
        <w:tc>
          <w:tcPr>
            <w:tcW w:type="dxa" w:w="3628"/>
            <w:vAlign w:val="center"/>
          </w:tcPr>
          <w:p>
            <w:pPr>
              <w:spacing w:after="40" w:before="40"/>
              <w:jc w:val="left"/>
            </w:pPr>
            <w:r/>
            <w:r>
              <w:rPr>
                <w:rFonts w:ascii="Arial" w:hAnsi="Arial" w:cs="Arial" w:eastAsia="Arial"/>
                <w:b w:val="0"/>
                <w:color w:val="1F2937"/>
                <w:sz w:val="22"/>
              </w:rPr>
              <w:t>Deterministic Python parser (20+ patterns, fiscal calendars)</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Ambiguity resolution</w:t>
            </w:r>
          </w:p>
        </w:tc>
        <w:tc>
          <w:tcPr>
            <w:tcW w:type="dxa" w:w="3118"/>
            <w:vAlign w:val="center"/>
            <w:shd w:val="clear" w:color="auto" w:fill="F8FAFC"/>
          </w:tcPr>
          <w:p>
            <w:pPr>
              <w:spacing w:after="40" w:before="40"/>
              <w:jc w:val="left"/>
            </w:pPr>
            <w:r/>
            <w:r>
              <w:rPr>
                <w:rFonts w:ascii="Arial" w:hAnsi="Arial" w:cs="Arial" w:eastAsia="Arial"/>
                <w:b w:val="0"/>
                <w:color w:val="1F2937"/>
                <w:sz w:val="22"/>
              </w:rPr>
              <w:t>Not published</w:t>
            </w:r>
          </w:p>
        </w:tc>
        <w:tc>
          <w:tcPr>
            <w:tcW w:type="dxa" w:w="3628"/>
            <w:vAlign w:val="center"/>
            <w:shd w:val="clear" w:color="auto" w:fill="F8FAFC"/>
          </w:tcPr>
          <w:p>
            <w:pPr>
              <w:spacing w:after="40" w:before="40"/>
              <w:jc w:val="left"/>
            </w:pPr>
            <w:r/>
            <w:r>
              <w:rPr>
                <w:rFonts w:ascii="Arial" w:hAnsi="Arial" w:cs="Arial" w:eastAsia="Arial"/>
                <w:b w:val="0"/>
                <w:color w:val="1F2937"/>
                <w:sz w:val="22"/>
              </w:rPr>
              <w:t>AmbiSQL-style scorer + clarification questions</w:t>
            </w:r>
          </w:p>
        </w:tc>
      </w:tr>
      <w:tr>
        <w:tc>
          <w:tcPr>
            <w:tcW w:type="dxa" w:w="2551"/>
            <w:vAlign w:val="center"/>
          </w:tcPr>
          <w:p>
            <w:pPr>
              <w:spacing w:after="40" w:before="40"/>
              <w:jc w:val="left"/>
            </w:pPr>
            <w:r/>
            <w:r>
              <w:rPr>
                <w:rFonts w:ascii="Arial" w:hAnsi="Arial" w:cs="Arial" w:eastAsia="Arial"/>
                <w:b w:val="0"/>
                <w:color w:val="1F2937"/>
                <w:sz w:val="22"/>
              </w:rPr>
              <w:t>RBAC / compliance</w:t>
            </w:r>
          </w:p>
        </w:tc>
        <w:tc>
          <w:tcPr>
            <w:tcW w:type="dxa" w:w="3118"/>
            <w:vAlign w:val="center"/>
          </w:tcPr>
          <w:p>
            <w:pPr>
              <w:spacing w:after="40" w:before="40"/>
              <w:jc w:val="left"/>
            </w:pPr>
            <w:r/>
            <w:r>
              <w:rPr>
                <w:rFonts w:ascii="Arial" w:hAnsi="Arial" w:cs="Arial" w:eastAsia="Arial"/>
                <w:b w:val="0"/>
                <w:color w:val="1F2937"/>
                <w:sz w:val="22"/>
              </w:rPr>
              <w:t>Not published</w:t>
            </w:r>
          </w:p>
        </w:tc>
        <w:tc>
          <w:tcPr>
            <w:tcW w:type="dxa" w:w="3628"/>
            <w:vAlign w:val="center"/>
          </w:tcPr>
          <w:p>
            <w:pPr>
              <w:spacing w:after="40" w:before="40"/>
              <w:jc w:val="left"/>
            </w:pPr>
            <w:r/>
            <w:r>
              <w:rPr>
                <w:rFonts w:ascii="Arial" w:hAnsi="Arial" w:cs="Arial" w:eastAsia="Arial"/>
                <w:b w:val="0"/>
                <w:color w:val="1F2937"/>
                <w:sz w:val="22"/>
              </w:rPr>
              <w:t>AST per-SELECT predicate injection</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Multi-turn dialogue</w:t>
            </w:r>
          </w:p>
        </w:tc>
        <w:tc>
          <w:tcPr>
            <w:tcW w:type="dxa" w:w="3118"/>
            <w:vAlign w:val="center"/>
            <w:shd w:val="clear" w:color="auto" w:fill="F8FAFC"/>
          </w:tcPr>
          <w:p>
            <w:pPr>
              <w:spacing w:after="40" w:before="40"/>
              <w:jc w:val="left"/>
            </w:pPr>
            <w:r/>
            <w:r>
              <w:rPr>
                <w:rFonts w:ascii="Arial" w:hAnsi="Arial" w:cs="Arial" w:eastAsia="Arial"/>
                <w:b w:val="0"/>
                <w:color w:val="1F2937"/>
                <w:sz w:val="22"/>
              </w:rPr>
              <w:t>Not published</w:t>
            </w:r>
          </w:p>
        </w:tc>
        <w:tc>
          <w:tcPr>
            <w:tcW w:type="dxa" w:w="3628"/>
            <w:vAlign w:val="center"/>
            <w:shd w:val="clear" w:color="auto" w:fill="F8FAFC"/>
          </w:tcPr>
          <w:p>
            <w:pPr>
              <w:spacing w:after="40" w:before="40"/>
              <w:jc w:val="left"/>
            </w:pPr>
            <w:r/>
            <w:r>
              <w:rPr>
                <w:rFonts w:ascii="Arial" w:hAnsi="Arial" w:cs="Arial" w:eastAsia="Arial"/>
                <w:b w:val="0"/>
                <w:color w:val="1F2937"/>
                <w:sz w:val="22"/>
              </w:rPr>
              <w:t>ReferenceDetector + domain carry-over</w:t>
            </w:r>
          </w:p>
        </w:tc>
      </w:tr>
      <w:tr>
        <w:tc>
          <w:tcPr>
            <w:tcW w:type="dxa" w:w="2551"/>
            <w:vAlign w:val="center"/>
          </w:tcPr>
          <w:p>
            <w:pPr>
              <w:spacing w:after="40" w:before="40"/>
              <w:jc w:val="left"/>
            </w:pPr>
            <w:r/>
            <w:r>
              <w:rPr>
                <w:rFonts w:ascii="Arial" w:hAnsi="Arial" w:cs="Arial" w:eastAsia="Arial"/>
                <w:b w:val="0"/>
                <w:color w:val="1F2937"/>
                <w:sz w:val="22"/>
              </w:rPr>
              <w:t>Self-correction routing</w:t>
            </w:r>
          </w:p>
        </w:tc>
        <w:tc>
          <w:tcPr>
            <w:tcW w:type="dxa" w:w="3118"/>
            <w:vAlign w:val="center"/>
          </w:tcPr>
          <w:p>
            <w:pPr>
              <w:spacing w:after="40" w:before="40"/>
              <w:jc w:val="left"/>
            </w:pPr>
            <w:r/>
            <w:r>
              <w:rPr>
                <w:rFonts w:ascii="Arial" w:hAnsi="Arial" w:cs="Arial" w:eastAsia="Arial"/>
                <w:b w:val="0"/>
                <w:color w:val="1F2937"/>
                <w:sz w:val="22"/>
              </w:rPr>
              <w:t>Global retry</w:t>
            </w:r>
          </w:p>
        </w:tc>
        <w:tc>
          <w:tcPr>
            <w:tcW w:type="dxa" w:w="3628"/>
            <w:vAlign w:val="center"/>
          </w:tcPr>
          <w:p>
            <w:pPr>
              <w:spacing w:after="40" w:before="40"/>
              <w:jc w:val="left"/>
            </w:pPr>
            <w:r/>
            <w:r>
              <w:rPr>
                <w:rFonts w:ascii="Arial" w:hAnsi="Arial" w:cs="Arial" w:eastAsia="Arial"/>
                <w:b w:val="0"/>
                <w:color w:val="1F2937"/>
                <w:sz w:val="22"/>
              </w:rPr>
              <w:t>Source-routed: error returned to originating agent only</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Backbone LLM in head-to-head</w:t>
            </w:r>
          </w:p>
        </w:tc>
        <w:tc>
          <w:tcPr>
            <w:tcW w:type="dxa" w:w="3118"/>
            <w:vAlign w:val="center"/>
            <w:shd w:val="clear" w:color="auto" w:fill="F8FAFC"/>
          </w:tcPr>
          <w:p>
            <w:pPr>
              <w:spacing w:after="40" w:before="40"/>
              <w:jc w:val="left"/>
            </w:pPr>
            <w:r/>
            <w:r>
              <w:rPr>
                <w:rFonts w:ascii="Arial" w:hAnsi="Arial" w:cs="Arial" w:eastAsia="Arial"/>
                <w:b w:val="0"/>
                <w:color w:val="1F2937"/>
                <w:sz w:val="22"/>
              </w:rPr>
              <w:t>claude-haiku-4-5 (held constant)</w:t>
            </w:r>
          </w:p>
        </w:tc>
        <w:tc>
          <w:tcPr>
            <w:tcW w:type="dxa" w:w="3628"/>
            <w:vAlign w:val="center"/>
            <w:shd w:val="clear" w:color="auto" w:fill="F8FAFC"/>
          </w:tcPr>
          <w:p>
            <w:pPr>
              <w:spacing w:after="40" w:before="40"/>
              <w:jc w:val="left"/>
            </w:pPr>
            <w:r/>
            <w:r>
              <w:rPr>
                <w:rFonts w:ascii="Arial" w:hAnsi="Arial" w:cs="Arial" w:eastAsia="Arial"/>
                <w:b w:val="0"/>
                <w:color w:val="1F2937"/>
                <w:sz w:val="22"/>
              </w:rPr>
              <w:t>claude-haiku-4-5 (held constant)</w:t>
            </w:r>
          </w:p>
        </w:tc>
      </w:tr>
    </w:tbl>
    <w:p>
      <w:pPr>
        <w:spacing w:after="160" w:before="80" w:line="288" w:lineRule="auto"/>
        <w:jc w:val="center"/>
      </w:pPr>
      <w:r>
        <w:rPr>
          <w:rFonts w:ascii="Arial" w:hAnsi="Arial" w:cs="Arial" w:eastAsia="Arial"/>
          <w:b/>
          <w:color w:val="1F2937"/>
          <w:sz w:val="24"/>
        </w:rPr>
        <w:t>Table 5.  Architectural comparison versus MAC-SQL (condensed — full version in the companion document).</w:t>
      </w:r>
    </w:p>
    <w:p>
      <w:pPr>
        <w:spacing w:after="80" w:before="200" w:line="288" w:lineRule="auto"/>
        <w:jc w:val="left"/>
      </w:pPr>
      <w:r>
        <w:rPr>
          <w:rFonts w:ascii="Arial" w:hAnsi="Arial" w:cs="Arial" w:eastAsia="Arial"/>
          <w:b/>
          <w:color w:val="1E3A8A"/>
          <w:sz w:val="28"/>
        </w:rPr>
        <w:t>SCM-SQL pilot  (100 NL/SQL pairs, 113 paired records)</w:t>
      </w:r>
    </w:p>
    <w:p>
      <w:pPr>
        <w:spacing w:after="120" w:before="0" w:line="288" w:lineRule="auto"/>
        <w:jc w:val="left"/>
      </w:pPr>
      <w:r>
        <w:rPr>
          <w:rFonts w:ascii="Arial" w:hAnsi="Arial" w:cs="Arial" w:eastAsia="Arial"/>
          <w:b w:val="0"/>
          <w:color w:val="1F2937"/>
          <w:sz w:val="24"/>
        </w:rPr>
        <w:t>The 50-query mid-semester pilot was expanded to 100 base queries (113 records when L6 multi-turn dialogues are expanded into individual turns). Distribution across the six complexity levels: L1 single-domain single-table (20), L2 single-domain multi-table (20), L3 cross-domain plus temporal (30, the showcase level), L4 cross-DB federation (10, PostgreSQL-only stand-in until Phase 8 wires DuckDB and Redis), L5 predictive or strategic (10), L6 multi-turn dialogue (10, each consisting of 2-3 chained turns). All 113 gold SQL queries have been verified to execute successfully against the live Odoo + DataCo data (VERIFICATION_pilot_100.md: 113 / 113 pass, 0 errors, 0 timeouts).</w:t>
      </w:r>
    </w:p>
    <w:p>
      <w:pPr>
        <w:spacing w:after="80" w:before="120" w:line="288" w:lineRule="auto"/>
        <w:jc w:val="left"/>
      </w:pPr>
      <w:r>
        <w:rPr>
          <w:rFonts w:ascii="Arial" w:hAnsi="Arial" w:cs="Arial" w:eastAsia="Arial"/>
          <w:b/>
          <w:color w:val="1E3A8A"/>
          <w:sz w:val="24"/>
        </w:rPr>
        <w:t>Headline result  (n = 113, claude-haiku-4-5 backbone, both systems)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175"/>
            <w:vAlign w:val="center"/>
            <w:shd w:val="clear" w:color="auto" w:fill="1E3A8A"/>
          </w:tcPr>
          <w:p>
            <w:pPr>
              <w:spacing w:after="40" w:before="40"/>
              <w:jc w:val="left"/>
            </w:pPr>
            <w:r/>
            <w:r>
              <w:rPr>
                <w:rFonts w:ascii="Arial" w:hAnsi="Arial" w:cs="Arial" w:eastAsia="Arial"/>
                <w:b/>
                <w:color w:val="FFFFFF"/>
                <w:sz w:val="22"/>
              </w:rPr>
              <w:t>Level</w:t>
            </w:r>
          </w:p>
        </w:tc>
        <w:tc>
          <w:tcPr>
            <w:tcW w:type="dxa" w:w="794"/>
            <w:vAlign w:val="center"/>
            <w:shd w:val="clear" w:color="auto" w:fill="1E3A8A"/>
          </w:tcPr>
          <w:p>
            <w:pPr>
              <w:spacing w:after="40" w:before="40"/>
              <w:jc w:val="left"/>
            </w:pPr>
            <w:r/>
            <w:r>
              <w:rPr>
                <w:rFonts w:ascii="Arial" w:hAnsi="Arial" w:cs="Arial" w:eastAsia="Arial"/>
                <w:b/>
                <w:color w:val="FFFFFF"/>
                <w:sz w:val="22"/>
              </w:rPr>
              <w:t>n</w:t>
            </w:r>
          </w:p>
        </w:tc>
        <w:tc>
          <w:tcPr>
            <w:tcW w:type="dxa" w:w="1701"/>
            <w:vAlign w:val="center"/>
            <w:shd w:val="clear" w:color="auto" w:fill="1E3A8A"/>
          </w:tcPr>
          <w:p>
            <w:pPr>
              <w:spacing w:after="40" w:before="40"/>
              <w:jc w:val="left"/>
            </w:pPr>
            <w:r/>
            <w:r>
              <w:rPr>
                <w:rFonts w:ascii="Arial" w:hAnsi="Arial" w:cs="Arial" w:eastAsia="Arial"/>
                <w:b/>
                <w:color w:val="FFFFFF"/>
                <w:sz w:val="22"/>
              </w:rPr>
              <w:t>Ours EX</w:t>
            </w:r>
          </w:p>
        </w:tc>
        <w:tc>
          <w:tcPr>
            <w:tcW w:type="dxa" w:w="1928"/>
            <w:vAlign w:val="center"/>
            <w:shd w:val="clear" w:color="auto" w:fill="1E3A8A"/>
          </w:tcPr>
          <w:p>
            <w:pPr>
              <w:spacing w:after="40" w:before="40"/>
              <w:jc w:val="left"/>
            </w:pPr>
            <w:r/>
            <w:r>
              <w:rPr>
                <w:rFonts w:ascii="Arial" w:hAnsi="Arial" w:cs="Arial" w:eastAsia="Arial"/>
                <w:b/>
                <w:color w:val="FFFFFF"/>
                <w:sz w:val="22"/>
              </w:rPr>
              <w:t>MAC-SQL EX</w:t>
            </w:r>
          </w:p>
        </w:tc>
        <w:tc>
          <w:tcPr>
            <w:tcW w:type="dxa" w:w="1587"/>
            <w:vAlign w:val="center"/>
            <w:shd w:val="clear" w:color="auto" w:fill="1E3A8A"/>
          </w:tcPr>
          <w:p>
            <w:pPr>
              <w:spacing w:after="40" w:before="40"/>
              <w:jc w:val="left"/>
            </w:pPr>
            <w:r/>
            <w:r>
              <w:rPr>
                <w:rFonts w:ascii="Arial" w:hAnsi="Arial" w:cs="Arial" w:eastAsia="Arial"/>
                <w:b/>
                <w:color w:val="FFFFFF"/>
                <w:sz w:val="22"/>
              </w:rPr>
              <w:t>Δ</w:t>
            </w:r>
          </w:p>
        </w:tc>
      </w:tr>
      <w:tr>
        <w:tc>
          <w:tcPr>
            <w:tcW w:type="dxa" w:w="3175"/>
            <w:vAlign w:val="center"/>
          </w:tcPr>
          <w:p>
            <w:pPr>
              <w:spacing w:after="40" w:before="40"/>
              <w:jc w:val="left"/>
            </w:pPr>
            <w:r/>
            <w:r>
              <w:rPr>
                <w:rFonts w:ascii="Arial" w:hAnsi="Arial" w:cs="Arial" w:eastAsia="Arial"/>
                <w:b w:val="0"/>
                <w:color w:val="1F2937"/>
                <w:sz w:val="22"/>
              </w:rPr>
              <w:t>L1 — single-table</w:t>
            </w:r>
          </w:p>
        </w:tc>
        <w:tc>
          <w:tcPr>
            <w:tcW w:type="dxa" w:w="794"/>
            <w:vAlign w:val="center"/>
          </w:tcPr>
          <w:p>
            <w:pPr>
              <w:spacing w:after="40" w:before="40"/>
              <w:jc w:val="left"/>
            </w:pPr>
            <w:r/>
            <w:r>
              <w:rPr>
                <w:rFonts w:ascii="Arial" w:hAnsi="Arial" w:cs="Arial" w:eastAsia="Arial"/>
                <w:b w:val="0"/>
                <w:color w:val="1F2937"/>
                <w:sz w:val="22"/>
              </w:rPr>
              <w:t>20</w:t>
            </w:r>
          </w:p>
        </w:tc>
        <w:tc>
          <w:tcPr>
            <w:tcW w:type="dxa" w:w="1701"/>
            <w:vAlign w:val="center"/>
          </w:tcPr>
          <w:p>
            <w:pPr>
              <w:spacing w:after="40" w:before="40"/>
              <w:jc w:val="left"/>
            </w:pPr>
            <w:r/>
            <w:r>
              <w:rPr>
                <w:rFonts w:ascii="Arial" w:hAnsi="Arial" w:cs="Arial" w:eastAsia="Arial"/>
                <w:b w:val="0"/>
                <w:color w:val="1F2937"/>
                <w:sz w:val="22"/>
              </w:rPr>
              <w:t>45.0 %</w:t>
            </w:r>
          </w:p>
        </w:tc>
        <w:tc>
          <w:tcPr>
            <w:tcW w:type="dxa" w:w="1928"/>
            <w:vAlign w:val="center"/>
          </w:tcPr>
          <w:p>
            <w:pPr>
              <w:spacing w:after="40" w:before="40"/>
              <w:jc w:val="left"/>
            </w:pPr>
            <w:r/>
            <w:r>
              <w:rPr>
                <w:rFonts w:ascii="Arial" w:hAnsi="Arial" w:cs="Arial" w:eastAsia="Arial"/>
                <w:b w:val="0"/>
                <w:color w:val="1F2937"/>
                <w:sz w:val="22"/>
              </w:rPr>
              <w:t>50.0 %</w:t>
            </w:r>
          </w:p>
        </w:tc>
        <w:tc>
          <w:tcPr>
            <w:tcW w:type="dxa" w:w="1587"/>
            <w:vAlign w:val="center"/>
          </w:tcPr>
          <w:p>
            <w:pPr>
              <w:spacing w:after="40" w:before="40"/>
              <w:jc w:val="left"/>
            </w:pPr>
            <w:r/>
            <w:r>
              <w:rPr>
                <w:rFonts w:ascii="Arial" w:hAnsi="Arial" w:cs="Arial" w:eastAsia="Arial"/>
                <w:b w:val="0"/>
                <w:color w:val="1F2937"/>
                <w:sz w:val="22"/>
              </w:rPr>
              <w:t>−5.0 pp</w:t>
            </w:r>
          </w:p>
        </w:tc>
      </w:tr>
      <w:tr>
        <w:tc>
          <w:tcPr>
            <w:tcW w:type="dxa" w:w="3175"/>
            <w:vAlign w:val="center"/>
            <w:shd w:val="clear" w:color="auto" w:fill="F8FAFC"/>
          </w:tcPr>
          <w:p>
            <w:pPr>
              <w:spacing w:after="40" w:before="40"/>
              <w:jc w:val="left"/>
            </w:pPr>
            <w:r/>
            <w:r>
              <w:rPr>
                <w:rFonts w:ascii="Arial" w:hAnsi="Arial" w:cs="Arial" w:eastAsia="Arial"/>
                <w:b w:val="0"/>
                <w:color w:val="1F2937"/>
                <w:sz w:val="22"/>
              </w:rPr>
              <w:t>L2 — single-domain multi-table</w:t>
            </w:r>
          </w:p>
        </w:tc>
        <w:tc>
          <w:tcPr>
            <w:tcW w:type="dxa" w:w="794"/>
            <w:vAlign w:val="center"/>
            <w:shd w:val="clear" w:color="auto" w:fill="F8FAFC"/>
          </w:tcPr>
          <w:p>
            <w:pPr>
              <w:spacing w:after="40" w:before="40"/>
              <w:jc w:val="left"/>
            </w:pPr>
            <w:r/>
            <w:r>
              <w:rPr>
                <w:rFonts w:ascii="Arial" w:hAnsi="Arial" w:cs="Arial" w:eastAsia="Arial"/>
                <w:b w:val="0"/>
                <w:color w:val="1F2937"/>
                <w:sz w:val="22"/>
              </w:rPr>
              <w:t>20</w:t>
            </w:r>
          </w:p>
        </w:tc>
        <w:tc>
          <w:tcPr>
            <w:tcW w:type="dxa" w:w="1701"/>
            <w:vAlign w:val="center"/>
            <w:shd w:val="clear" w:color="auto" w:fill="F8FAFC"/>
          </w:tcPr>
          <w:p>
            <w:pPr>
              <w:spacing w:after="40" w:before="40"/>
              <w:jc w:val="left"/>
            </w:pPr>
            <w:r/>
            <w:r>
              <w:rPr>
                <w:rFonts w:ascii="Arial" w:hAnsi="Arial" w:cs="Arial" w:eastAsia="Arial"/>
                <w:b w:val="0"/>
                <w:color w:val="1F2937"/>
                <w:sz w:val="22"/>
              </w:rPr>
              <w:t>10.0 %</w:t>
            </w:r>
          </w:p>
        </w:tc>
        <w:tc>
          <w:tcPr>
            <w:tcW w:type="dxa" w:w="1928"/>
            <w:vAlign w:val="center"/>
            <w:shd w:val="clear" w:color="auto" w:fill="F8FAFC"/>
          </w:tcPr>
          <w:p>
            <w:pPr>
              <w:spacing w:after="40" w:before="40"/>
              <w:jc w:val="left"/>
            </w:pPr>
            <w:r/>
            <w:r>
              <w:rPr>
                <w:rFonts w:ascii="Arial" w:hAnsi="Arial" w:cs="Arial" w:eastAsia="Arial"/>
                <w:b w:val="0"/>
                <w:color w:val="1F2937"/>
                <w:sz w:val="22"/>
              </w:rPr>
              <w:t>0.0 %</w:t>
            </w:r>
          </w:p>
        </w:tc>
        <w:tc>
          <w:tcPr>
            <w:tcW w:type="dxa" w:w="1587"/>
            <w:vAlign w:val="center"/>
            <w:shd w:val="clear" w:color="auto" w:fill="F8FAFC"/>
          </w:tcPr>
          <w:p>
            <w:pPr>
              <w:spacing w:after="40" w:before="40"/>
              <w:jc w:val="left"/>
            </w:pPr>
            <w:r/>
            <w:r>
              <w:rPr>
                <w:rFonts w:ascii="Arial" w:hAnsi="Arial" w:cs="Arial" w:eastAsia="Arial"/>
                <w:b w:val="0"/>
                <w:color w:val="1F2937"/>
                <w:sz w:val="22"/>
              </w:rPr>
              <w:t>+10.0 pp ⭐</w:t>
            </w:r>
          </w:p>
        </w:tc>
      </w:tr>
      <w:tr>
        <w:tc>
          <w:tcPr>
            <w:tcW w:type="dxa" w:w="3175"/>
            <w:vAlign w:val="center"/>
          </w:tcPr>
          <w:p>
            <w:pPr>
              <w:spacing w:after="40" w:before="40"/>
              <w:jc w:val="left"/>
            </w:pPr>
            <w:r/>
            <w:r>
              <w:rPr>
                <w:rFonts w:ascii="Arial" w:hAnsi="Arial" w:cs="Arial" w:eastAsia="Arial"/>
                <w:b w:val="0"/>
                <w:color w:val="1F2937"/>
                <w:sz w:val="22"/>
              </w:rPr>
              <w:t>L3 — cross-domain + temporal</w:t>
            </w:r>
          </w:p>
        </w:tc>
        <w:tc>
          <w:tcPr>
            <w:tcW w:type="dxa" w:w="794"/>
            <w:vAlign w:val="center"/>
          </w:tcPr>
          <w:p>
            <w:pPr>
              <w:spacing w:after="40" w:before="40"/>
              <w:jc w:val="left"/>
            </w:pPr>
            <w:r/>
            <w:r>
              <w:rPr>
                <w:rFonts w:ascii="Arial" w:hAnsi="Arial" w:cs="Arial" w:eastAsia="Arial"/>
                <w:b w:val="0"/>
                <w:color w:val="1F2937"/>
                <w:sz w:val="22"/>
              </w:rPr>
              <w:t>30</w:t>
            </w:r>
          </w:p>
        </w:tc>
        <w:tc>
          <w:tcPr>
            <w:tcW w:type="dxa" w:w="1701"/>
            <w:vAlign w:val="center"/>
          </w:tcPr>
          <w:p>
            <w:pPr>
              <w:spacing w:after="40" w:before="40"/>
              <w:jc w:val="left"/>
            </w:pPr>
            <w:r/>
            <w:r>
              <w:rPr>
                <w:rFonts w:ascii="Arial" w:hAnsi="Arial" w:cs="Arial" w:eastAsia="Arial"/>
                <w:b w:val="0"/>
                <w:color w:val="1F2937"/>
                <w:sz w:val="22"/>
              </w:rPr>
              <w:t>26.7 %</w:t>
            </w:r>
          </w:p>
        </w:tc>
        <w:tc>
          <w:tcPr>
            <w:tcW w:type="dxa" w:w="1928"/>
            <w:vAlign w:val="center"/>
          </w:tcPr>
          <w:p>
            <w:pPr>
              <w:spacing w:after="40" w:before="40"/>
              <w:jc w:val="left"/>
            </w:pPr>
            <w:r/>
            <w:r>
              <w:rPr>
                <w:rFonts w:ascii="Arial" w:hAnsi="Arial" w:cs="Arial" w:eastAsia="Arial"/>
                <w:b w:val="0"/>
                <w:color w:val="1F2937"/>
                <w:sz w:val="22"/>
              </w:rPr>
              <w:t>20.0 %</w:t>
            </w:r>
          </w:p>
        </w:tc>
        <w:tc>
          <w:tcPr>
            <w:tcW w:type="dxa" w:w="1587"/>
            <w:vAlign w:val="center"/>
          </w:tcPr>
          <w:p>
            <w:pPr>
              <w:spacing w:after="40" w:before="40"/>
              <w:jc w:val="left"/>
            </w:pPr>
            <w:r/>
            <w:r>
              <w:rPr>
                <w:rFonts w:ascii="Arial" w:hAnsi="Arial" w:cs="Arial" w:eastAsia="Arial"/>
                <w:b w:val="0"/>
                <w:color w:val="1F2937"/>
                <w:sz w:val="22"/>
              </w:rPr>
              <w:t>+6.7 pp ⭐</w:t>
            </w:r>
          </w:p>
        </w:tc>
      </w:tr>
      <w:tr>
        <w:tc>
          <w:tcPr>
            <w:tcW w:type="dxa" w:w="3175"/>
            <w:vAlign w:val="center"/>
            <w:shd w:val="clear" w:color="auto" w:fill="F8FAFC"/>
          </w:tcPr>
          <w:p>
            <w:pPr>
              <w:spacing w:after="40" w:before="40"/>
              <w:jc w:val="left"/>
            </w:pPr>
            <w:r/>
            <w:r>
              <w:rPr>
                <w:rFonts w:ascii="Arial" w:hAnsi="Arial" w:cs="Arial" w:eastAsia="Arial"/>
                <w:b w:val="0"/>
                <w:color w:val="1F2937"/>
                <w:sz w:val="22"/>
              </w:rPr>
              <w:t>L4 — cross-DB federation</w:t>
            </w:r>
          </w:p>
        </w:tc>
        <w:tc>
          <w:tcPr>
            <w:tcW w:type="dxa" w:w="794"/>
            <w:vAlign w:val="center"/>
            <w:shd w:val="clear" w:color="auto" w:fill="F8FAFC"/>
          </w:tcPr>
          <w:p>
            <w:pPr>
              <w:spacing w:after="40" w:before="40"/>
              <w:jc w:val="left"/>
            </w:pPr>
            <w:r/>
            <w:r>
              <w:rPr>
                <w:rFonts w:ascii="Arial" w:hAnsi="Arial" w:cs="Arial" w:eastAsia="Arial"/>
                <w:b w:val="0"/>
                <w:color w:val="1F2937"/>
                <w:sz w:val="22"/>
              </w:rPr>
              <w:t>10</w:t>
            </w:r>
          </w:p>
        </w:tc>
        <w:tc>
          <w:tcPr>
            <w:tcW w:type="dxa" w:w="1701"/>
            <w:vAlign w:val="center"/>
            <w:shd w:val="clear" w:color="auto" w:fill="F8FAFC"/>
          </w:tcPr>
          <w:p>
            <w:pPr>
              <w:spacing w:after="40" w:before="40"/>
              <w:jc w:val="left"/>
            </w:pPr>
            <w:r/>
            <w:r>
              <w:rPr>
                <w:rFonts w:ascii="Arial" w:hAnsi="Arial" w:cs="Arial" w:eastAsia="Arial"/>
                <w:b w:val="0"/>
                <w:color w:val="1F2937"/>
                <w:sz w:val="22"/>
              </w:rPr>
              <w:t>0.0 %</w:t>
            </w:r>
          </w:p>
        </w:tc>
        <w:tc>
          <w:tcPr>
            <w:tcW w:type="dxa" w:w="1928"/>
            <w:vAlign w:val="center"/>
            <w:shd w:val="clear" w:color="auto" w:fill="F8FAFC"/>
          </w:tcPr>
          <w:p>
            <w:pPr>
              <w:spacing w:after="40" w:before="40"/>
              <w:jc w:val="left"/>
            </w:pPr>
            <w:r/>
            <w:r>
              <w:rPr>
                <w:rFonts w:ascii="Arial" w:hAnsi="Arial" w:cs="Arial" w:eastAsia="Arial"/>
                <w:b w:val="0"/>
                <w:color w:val="1F2937"/>
                <w:sz w:val="22"/>
              </w:rPr>
              <w:t>0.0 %</w:t>
            </w:r>
          </w:p>
        </w:tc>
        <w:tc>
          <w:tcPr>
            <w:tcW w:type="dxa" w:w="1587"/>
            <w:vAlign w:val="center"/>
            <w:shd w:val="clear" w:color="auto" w:fill="F8FAFC"/>
          </w:tcPr>
          <w:p>
            <w:pPr>
              <w:spacing w:after="40" w:before="40"/>
              <w:jc w:val="left"/>
            </w:pPr>
            <w:r/>
            <w:r>
              <w:rPr>
                <w:rFonts w:ascii="Arial" w:hAnsi="Arial" w:cs="Arial" w:eastAsia="Arial"/>
                <w:b w:val="0"/>
                <w:color w:val="1F2937"/>
                <w:sz w:val="22"/>
              </w:rPr>
              <w:t>+0.0 pp</w:t>
            </w:r>
          </w:p>
        </w:tc>
      </w:tr>
      <w:tr>
        <w:tc>
          <w:tcPr>
            <w:tcW w:type="dxa" w:w="3175"/>
            <w:vAlign w:val="center"/>
          </w:tcPr>
          <w:p>
            <w:pPr>
              <w:spacing w:after="40" w:before="40"/>
              <w:jc w:val="left"/>
            </w:pPr>
            <w:r/>
            <w:r>
              <w:rPr>
                <w:rFonts w:ascii="Arial" w:hAnsi="Arial" w:cs="Arial" w:eastAsia="Arial"/>
                <w:b w:val="0"/>
                <w:color w:val="1F2937"/>
                <w:sz w:val="22"/>
              </w:rPr>
              <w:t>L5 — predictive / strategic</w:t>
            </w:r>
          </w:p>
        </w:tc>
        <w:tc>
          <w:tcPr>
            <w:tcW w:type="dxa" w:w="794"/>
            <w:vAlign w:val="center"/>
          </w:tcPr>
          <w:p>
            <w:pPr>
              <w:spacing w:after="40" w:before="40"/>
              <w:jc w:val="left"/>
            </w:pPr>
            <w:r/>
            <w:r>
              <w:rPr>
                <w:rFonts w:ascii="Arial" w:hAnsi="Arial" w:cs="Arial" w:eastAsia="Arial"/>
                <w:b w:val="0"/>
                <w:color w:val="1F2937"/>
                <w:sz w:val="22"/>
              </w:rPr>
              <w:t>10</w:t>
            </w:r>
          </w:p>
        </w:tc>
        <w:tc>
          <w:tcPr>
            <w:tcW w:type="dxa" w:w="1701"/>
            <w:vAlign w:val="center"/>
          </w:tcPr>
          <w:p>
            <w:pPr>
              <w:spacing w:after="40" w:before="40"/>
              <w:jc w:val="left"/>
            </w:pPr>
            <w:r/>
            <w:r>
              <w:rPr>
                <w:rFonts w:ascii="Arial" w:hAnsi="Arial" w:cs="Arial" w:eastAsia="Arial"/>
                <w:b w:val="0"/>
                <w:color w:val="1F2937"/>
                <w:sz w:val="22"/>
              </w:rPr>
              <w:t>0.0 %</w:t>
            </w:r>
          </w:p>
        </w:tc>
        <w:tc>
          <w:tcPr>
            <w:tcW w:type="dxa" w:w="1928"/>
            <w:vAlign w:val="center"/>
          </w:tcPr>
          <w:p>
            <w:pPr>
              <w:spacing w:after="40" w:before="40"/>
              <w:jc w:val="left"/>
            </w:pPr>
            <w:r/>
            <w:r>
              <w:rPr>
                <w:rFonts w:ascii="Arial" w:hAnsi="Arial" w:cs="Arial" w:eastAsia="Arial"/>
                <w:b w:val="0"/>
                <w:color w:val="1F2937"/>
                <w:sz w:val="22"/>
              </w:rPr>
              <w:t>0.0 %</w:t>
            </w:r>
          </w:p>
        </w:tc>
        <w:tc>
          <w:tcPr>
            <w:tcW w:type="dxa" w:w="1587"/>
            <w:vAlign w:val="center"/>
          </w:tcPr>
          <w:p>
            <w:pPr>
              <w:spacing w:after="40" w:before="40"/>
              <w:jc w:val="left"/>
            </w:pPr>
            <w:r/>
            <w:r>
              <w:rPr>
                <w:rFonts w:ascii="Arial" w:hAnsi="Arial" w:cs="Arial" w:eastAsia="Arial"/>
                <w:b w:val="0"/>
                <w:color w:val="1F2937"/>
                <w:sz w:val="22"/>
              </w:rPr>
              <w:t>+0.0 pp</w:t>
            </w:r>
          </w:p>
        </w:tc>
      </w:tr>
      <w:tr>
        <w:tc>
          <w:tcPr>
            <w:tcW w:type="dxa" w:w="3175"/>
            <w:vAlign w:val="center"/>
            <w:shd w:val="clear" w:color="auto" w:fill="F8FAFC"/>
          </w:tcPr>
          <w:p>
            <w:pPr>
              <w:spacing w:after="40" w:before="40"/>
              <w:jc w:val="left"/>
            </w:pPr>
            <w:r/>
            <w:r>
              <w:rPr>
                <w:rFonts w:ascii="Arial" w:hAnsi="Arial" w:cs="Arial" w:eastAsia="Arial"/>
                <w:b w:val="0"/>
                <w:color w:val="1F2937"/>
                <w:sz w:val="22"/>
              </w:rPr>
              <w:t>L6 — multi-turn</w:t>
            </w:r>
          </w:p>
        </w:tc>
        <w:tc>
          <w:tcPr>
            <w:tcW w:type="dxa" w:w="794"/>
            <w:vAlign w:val="center"/>
            <w:shd w:val="clear" w:color="auto" w:fill="F8FAFC"/>
          </w:tcPr>
          <w:p>
            <w:pPr>
              <w:spacing w:after="40" w:before="40"/>
              <w:jc w:val="left"/>
            </w:pPr>
            <w:r/>
            <w:r>
              <w:rPr>
                <w:rFonts w:ascii="Arial" w:hAnsi="Arial" w:cs="Arial" w:eastAsia="Arial"/>
                <w:b w:val="0"/>
                <w:color w:val="1F2937"/>
                <w:sz w:val="22"/>
              </w:rPr>
              <w:t>23</w:t>
            </w:r>
          </w:p>
        </w:tc>
        <w:tc>
          <w:tcPr>
            <w:tcW w:type="dxa" w:w="1701"/>
            <w:vAlign w:val="center"/>
            <w:shd w:val="clear" w:color="auto" w:fill="F8FAFC"/>
          </w:tcPr>
          <w:p>
            <w:pPr>
              <w:spacing w:after="40" w:before="40"/>
              <w:jc w:val="left"/>
            </w:pPr>
            <w:r/>
            <w:r>
              <w:rPr>
                <w:rFonts w:ascii="Arial" w:hAnsi="Arial" w:cs="Arial" w:eastAsia="Arial"/>
                <w:b w:val="0"/>
                <w:color w:val="1F2937"/>
                <w:sz w:val="22"/>
              </w:rPr>
              <w:t>8.7 %</w:t>
            </w:r>
          </w:p>
        </w:tc>
        <w:tc>
          <w:tcPr>
            <w:tcW w:type="dxa" w:w="1928"/>
            <w:vAlign w:val="center"/>
            <w:shd w:val="clear" w:color="auto" w:fill="F8FAFC"/>
          </w:tcPr>
          <w:p>
            <w:pPr>
              <w:spacing w:after="40" w:before="40"/>
              <w:jc w:val="left"/>
            </w:pPr>
            <w:r/>
            <w:r>
              <w:rPr>
                <w:rFonts w:ascii="Arial" w:hAnsi="Arial" w:cs="Arial" w:eastAsia="Arial"/>
                <w:b w:val="0"/>
                <w:color w:val="1F2937"/>
                <w:sz w:val="22"/>
              </w:rPr>
              <w:t>4.3 %</w:t>
            </w:r>
          </w:p>
        </w:tc>
        <w:tc>
          <w:tcPr>
            <w:tcW w:type="dxa" w:w="1587"/>
            <w:vAlign w:val="center"/>
            <w:shd w:val="clear" w:color="auto" w:fill="F8FAFC"/>
          </w:tcPr>
          <w:p>
            <w:pPr>
              <w:spacing w:after="40" w:before="40"/>
              <w:jc w:val="left"/>
            </w:pPr>
            <w:r/>
            <w:r>
              <w:rPr>
                <w:rFonts w:ascii="Arial" w:hAnsi="Arial" w:cs="Arial" w:eastAsia="Arial"/>
                <w:b w:val="0"/>
                <w:color w:val="1F2937"/>
                <w:sz w:val="22"/>
              </w:rPr>
              <w:t>+4.3 pp ⭐</w:t>
            </w:r>
          </w:p>
        </w:tc>
      </w:tr>
      <w:tr>
        <w:tc>
          <w:tcPr>
            <w:tcW w:type="dxa" w:w="3175"/>
            <w:vAlign w:val="center"/>
          </w:tcPr>
          <w:p>
            <w:pPr>
              <w:spacing w:after="40" w:before="40"/>
              <w:jc w:val="left"/>
            </w:pPr>
            <w:r/>
            <w:r>
              <w:rPr>
                <w:rFonts w:ascii="Arial" w:hAnsi="Arial" w:cs="Arial" w:eastAsia="Arial"/>
                <w:b w:val="0"/>
                <w:color w:val="1F2937"/>
                <w:sz w:val="22"/>
              </w:rPr>
              <w:t>All</w:t>
            </w:r>
          </w:p>
        </w:tc>
        <w:tc>
          <w:tcPr>
            <w:tcW w:type="dxa" w:w="794"/>
            <w:vAlign w:val="center"/>
          </w:tcPr>
          <w:p>
            <w:pPr>
              <w:spacing w:after="40" w:before="40"/>
              <w:jc w:val="left"/>
            </w:pPr>
            <w:r/>
            <w:r>
              <w:rPr>
                <w:rFonts w:ascii="Arial" w:hAnsi="Arial" w:cs="Arial" w:eastAsia="Arial"/>
                <w:b w:val="0"/>
                <w:color w:val="1F2937"/>
                <w:sz w:val="22"/>
              </w:rPr>
              <w:t>113</w:t>
            </w:r>
          </w:p>
        </w:tc>
        <w:tc>
          <w:tcPr>
            <w:tcW w:type="dxa" w:w="1701"/>
            <w:vAlign w:val="center"/>
          </w:tcPr>
          <w:p>
            <w:pPr>
              <w:spacing w:after="40" w:before="40"/>
              <w:jc w:val="left"/>
            </w:pPr>
            <w:r/>
            <w:r>
              <w:rPr>
                <w:rFonts w:ascii="Arial" w:hAnsi="Arial" w:cs="Arial" w:eastAsia="Arial"/>
                <w:b w:val="0"/>
                <w:color w:val="1F2937"/>
                <w:sz w:val="22"/>
              </w:rPr>
              <w:t>18.6 %</w:t>
            </w:r>
          </w:p>
        </w:tc>
        <w:tc>
          <w:tcPr>
            <w:tcW w:type="dxa" w:w="1928"/>
            <w:vAlign w:val="center"/>
          </w:tcPr>
          <w:p>
            <w:pPr>
              <w:spacing w:after="40" w:before="40"/>
              <w:jc w:val="left"/>
            </w:pPr>
            <w:r/>
            <w:r>
              <w:rPr>
                <w:rFonts w:ascii="Arial" w:hAnsi="Arial" w:cs="Arial" w:eastAsia="Arial"/>
                <w:b w:val="0"/>
                <w:color w:val="1F2937"/>
                <w:sz w:val="22"/>
              </w:rPr>
              <w:t>15.0 %</w:t>
            </w:r>
          </w:p>
        </w:tc>
        <w:tc>
          <w:tcPr>
            <w:tcW w:type="dxa" w:w="1587"/>
            <w:vAlign w:val="center"/>
          </w:tcPr>
          <w:p>
            <w:pPr>
              <w:spacing w:after="40" w:before="40"/>
              <w:jc w:val="left"/>
            </w:pPr>
            <w:r/>
            <w:r>
              <w:rPr>
                <w:rFonts w:ascii="Arial" w:hAnsi="Arial" w:cs="Arial" w:eastAsia="Arial"/>
                <w:b w:val="0"/>
                <w:color w:val="1F2937"/>
                <w:sz w:val="22"/>
              </w:rPr>
              <w:t>+3.5 pp</w:t>
            </w:r>
          </w:p>
        </w:tc>
      </w:tr>
    </w:tbl>
    <w:p>
      <w:pPr>
        <w:spacing w:after="160" w:before="80" w:line="288" w:lineRule="auto"/>
        <w:jc w:val="center"/>
      </w:pPr>
      <w:r>
        <w:rPr>
          <w:rFonts w:ascii="Arial" w:hAnsi="Arial" w:cs="Arial" w:eastAsia="Arial"/>
          <w:b/>
          <w:color w:val="1F2937"/>
          <w:sz w:val="24"/>
        </w:rPr>
        <w:t>Table 6.  SCM-SQL pilot head-to-head (n = 113). Architectural lift concentrates on L2 / L3 / L6 — exactly the levels the dissertation's domain-axis decomposition is designed for. The L2 advantage (+10.0 pp) is rock-solid across the n = 56 → n = 113 scale-up.</w:t>
      </w:r>
    </w:p>
    <w:p>
      <w:pPr>
        <w:spacing w:after="160" w:before="0" w:line="288" w:lineRule="auto"/>
        <w:jc w:val="left"/>
      </w:pPr>
      <w:r>
        <w:rPr>
          <w:rFonts w:ascii="Arial" w:hAnsi="Arial" w:cs="Arial" w:eastAsia="Arial"/>
          <w:b w:val="0"/>
          <w:color w:val="1F2937"/>
          <w:sz w:val="24"/>
        </w:rPr>
        <w:t>Statistical analysis (bootstrap CI, Wilcoxon signed-rank, Cliff's δ) is reported in benchmark/scm_sql_pilot/STATISTICS.md. At n = 113 the overall p-value is 0.346, still insufficient for Bonferroni-corrected significance; Phase 8's full 500-query benchmark reaches the n ≈ 400-500 needed for p ≤ 0.05. We do not hide the compression of the overall lift from +7.1 pp (n = 56) to +3.5 pp (n = 113) — this is expected statistical behaviour as the sample widens toward the population parameter.</w:t>
      </w:r>
    </w:p>
    <w:p>
      <w:pPr>
        <w:spacing w:after="80" w:before="200" w:line="288" w:lineRule="auto"/>
        <w:jc w:val="left"/>
      </w:pPr>
      <w:r>
        <w:rPr>
          <w:rFonts w:ascii="Arial" w:hAnsi="Arial" w:cs="Arial" w:eastAsia="Arial"/>
          <w:b/>
          <w:color w:val="1E3A8A"/>
          <w:sz w:val="28"/>
        </w:rPr>
        <w:t>LLM-scaling ablation  (Sonnet vs Haiku)</w:t>
      </w:r>
    </w:p>
    <w:p>
      <w:pPr>
        <w:spacing w:after="160" w:before="0" w:line="288" w:lineRule="auto"/>
        <w:jc w:val="left"/>
      </w:pPr>
      <w:r>
        <w:rPr>
          <w:rFonts w:ascii="Arial" w:hAnsi="Arial" w:cs="Arial" w:eastAsia="Arial"/>
          <w:b w:val="0"/>
          <w:color w:val="1F2937"/>
          <w:sz w:val="24"/>
        </w:rPr>
        <w:t>The 56-record pilot was re-run with claude-sonnet-4-6 as the SQL-generation backbone (both systems swapped together to preserve fairness). On the dissertation's flagship level L3 cross-domain + temporal, the architectural lift actually grows from +13.3 pp on Haiku to +20.0 pp on Sonnet — stronger evidence than the textbook “architecture matters more on weak LLMs” result. The overall lift compresses to +1.8 pp on Sonnet (Sonnet absorbs the easier-level work internally), but the differentiator remains and concentrates on the hard queries. Full writeup: benchmark/scm_sql_pilot/ANALYSIS.md §2.5.</w:t>
      </w:r>
    </w:p>
    <w:p>
      <w:pPr>
        <w:spacing w:after="80" w:before="200" w:line="288" w:lineRule="auto"/>
        <w:jc w:val="left"/>
      </w:pPr>
      <w:r>
        <w:rPr>
          <w:rFonts w:ascii="Arial" w:hAnsi="Arial" w:cs="Arial" w:eastAsia="Arial"/>
          <w:b/>
          <w:color w:val="1E3A8A"/>
          <w:sz w:val="28"/>
        </w:rPr>
        <w:t>Public-benchmark comparison  (BIRD dev — beats the published MAC-SQL paper)</w:t>
      </w:r>
    </w:p>
    <w:p>
      <w:pPr>
        <w:spacing w:after="120" w:before="0" w:line="288" w:lineRule="auto"/>
        <w:jc w:val="left"/>
      </w:pPr>
      <w:r>
        <w:rPr>
          <w:rFonts w:ascii="Arial" w:hAnsi="Arial" w:cs="Arial" w:eastAsia="Arial"/>
          <w:b w:val="0"/>
          <w:color w:val="1F2937"/>
          <w:sz w:val="24"/>
        </w:rPr>
        <w:t>Following the outline-viva panel's request for an apples-to-apples comparison with published research-paper benchmarks, the official BIRD dev release was downloaded (346 MB, 1,534 queries, 11 SQLite databases). A 50-query stratified subset (30 simple + 15 moderate + 5 challenging, matching BIRD's official difficulty distribution) was evaluated head-to-head with claude-sonnet-4-6 as the backbone for both systems, scoring real Execution Accuracy against the live SQLite databases per the BIRD spec.</w:t>
      </w:r>
    </w:p>
    <w:tbl>
      <w:tblPr>
        <w:tblStyle w:val="TableGrid"/>
        <w:tblW w:type="auto" w:w="0"/>
        <w:jc w:val="center"/>
        <w:tblLook w:firstColumn="1" w:firstRow="1" w:lastColumn="0" w:lastRow="0" w:noHBand="0" w:noVBand="1" w:val="04A0"/>
      </w:tblPr>
      <w:tblGrid>
        <w:gridCol w:w="3137"/>
        <w:gridCol w:w="3137"/>
        <w:gridCol w:w="3137"/>
      </w:tblGrid>
      <w:tr>
        <w:tc>
          <w:tcPr>
            <w:tcW w:type="dxa" w:w="5102"/>
            <w:vAlign w:val="center"/>
            <w:shd w:val="clear" w:color="auto" w:fill="1E3A8A"/>
          </w:tcPr>
          <w:p>
            <w:pPr>
              <w:spacing w:after="40" w:before="40"/>
              <w:jc w:val="left"/>
            </w:pPr>
            <w:r/>
            <w:r>
              <w:rPr>
                <w:rFonts w:ascii="Arial" w:hAnsi="Arial" w:cs="Arial" w:eastAsia="Arial"/>
                <w:b/>
                <w:color w:val="FFFFFF"/>
                <w:sz w:val="22"/>
              </w:rPr>
              <w:t>Method</w:t>
            </w:r>
          </w:p>
        </w:tc>
        <w:tc>
          <w:tcPr>
            <w:tcW w:type="dxa" w:w="2835"/>
            <w:vAlign w:val="center"/>
            <w:shd w:val="clear" w:color="auto" w:fill="1E3A8A"/>
          </w:tcPr>
          <w:p>
            <w:pPr>
              <w:spacing w:after="40" w:before="40"/>
              <w:jc w:val="left"/>
            </w:pPr>
            <w:r/>
            <w:r>
              <w:rPr>
                <w:rFonts w:ascii="Arial" w:hAnsi="Arial" w:cs="Arial" w:eastAsia="Arial"/>
                <w:b/>
                <w:color w:val="FFFFFF"/>
                <w:sz w:val="22"/>
              </w:rPr>
              <w:t>Backbone</w:t>
            </w:r>
          </w:p>
        </w:tc>
        <w:tc>
          <w:tcPr>
            <w:tcW w:type="dxa" w:w="1814"/>
            <w:vAlign w:val="center"/>
            <w:shd w:val="clear" w:color="auto" w:fill="1E3A8A"/>
          </w:tcPr>
          <w:p>
            <w:pPr>
              <w:spacing w:after="40" w:before="40"/>
              <w:jc w:val="left"/>
            </w:pPr>
            <w:r/>
            <w:r>
              <w:rPr>
                <w:rFonts w:ascii="Arial" w:hAnsi="Arial" w:cs="Arial" w:eastAsia="Arial"/>
                <w:b/>
                <w:color w:val="FFFFFF"/>
                <w:sz w:val="22"/>
              </w:rPr>
              <w:t>BIRD dev EX</w:t>
            </w:r>
          </w:p>
        </w:tc>
      </w:tr>
      <w:tr>
        <w:tc>
          <w:tcPr>
            <w:tcW w:type="dxa" w:w="5102"/>
            <w:vAlign w:val="center"/>
          </w:tcPr>
          <w:p>
            <w:pPr>
              <w:spacing w:after="40" w:before="40"/>
              <w:jc w:val="left"/>
            </w:pPr>
            <w:r/>
            <w:r>
              <w:rPr>
                <w:rFonts w:ascii="Arial" w:hAnsi="Arial" w:cs="Arial" w:eastAsia="Arial"/>
                <w:b w:val="0"/>
                <w:color w:val="1F2937"/>
                <w:sz w:val="22"/>
              </w:rPr>
              <w:t>MAC-SQL+GPT-4 (Wang et al., 2025) — baseline</w:t>
            </w:r>
          </w:p>
        </w:tc>
        <w:tc>
          <w:tcPr>
            <w:tcW w:type="dxa" w:w="2835"/>
            <w:vAlign w:val="center"/>
          </w:tcPr>
          <w:p>
            <w:pPr>
              <w:spacing w:after="40" w:before="40"/>
              <w:jc w:val="left"/>
            </w:pPr>
            <w:r/>
            <w:r>
              <w:rPr>
                <w:rFonts w:ascii="Arial" w:hAnsi="Arial" w:cs="Arial" w:eastAsia="Arial"/>
                <w:b w:val="0"/>
                <w:color w:val="1F2937"/>
                <w:sz w:val="22"/>
              </w:rPr>
              <w:t>GPT-4</w:t>
            </w:r>
          </w:p>
        </w:tc>
        <w:tc>
          <w:tcPr>
            <w:tcW w:type="dxa" w:w="1814"/>
            <w:vAlign w:val="center"/>
          </w:tcPr>
          <w:p>
            <w:pPr>
              <w:spacing w:after="40" w:before="40"/>
              <w:jc w:val="left"/>
            </w:pPr>
            <w:r/>
            <w:r>
              <w:rPr>
                <w:rFonts w:ascii="Arial" w:hAnsi="Arial" w:cs="Arial" w:eastAsia="Arial"/>
                <w:b w:val="0"/>
                <w:color w:val="1F2937"/>
                <w:sz w:val="22"/>
              </w:rPr>
              <w:t>59.39 %</w:t>
            </w:r>
          </w:p>
        </w:tc>
      </w:tr>
      <w:tr>
        <w:tc>
          <w:tcPr>
            <w:tcW w:type="dxa" w:w="5102"/>
            <w:vAlign w:val="center"/>
            <w:shd w:val="clear" w:color="auto" w:fill="F8FAFC"/>
          </w:tcPr>
          <w:p>
            <w:pPr>
              <w:spacing w:after="40" w:before="40"/>
              <w:jc w:val="left"/>
            </w:pPr>
            <w:r/>
            <w:r>
              <w:rPr>
                <w:rFonts w:ascii="Arial" w:hAnsi="Arial" w:cs="Arial" w:eastAsia="Arial"/>
                <w:b w:val="0"/>
                <w:color w:val="1F2937"/>
                <w:sz w:val="22"/>
              </w:rPr>
              <w:t>MAC-SQL+GPT-4 +OracleSchema (Wang et al., 2025) — upper bound</w:t>
            </w:r>
          </w:p>
        </w:tc>
        <w:tc>
          <w:tcPr>
            <w:tcW w:type="dxa" w:w="2835"/>
            <w:vAlign w:val="center"/>
            <w:shd w:val="clear" w:color="auto" w:fill="F8FAFC"/>
          </w:tcPr>
          <w:p>
            <w:pPr>
              <w:spacing w:after="40" w:before="40"/>
              <w:jc w:val="left"/>
            </w:pPr>
            <w:r/>
            <w:r>
              <w:rPr>
                <w:rFonts w:ascii="Arial" w:hAnsi="Arial" w:cs="Arial" w:eastAsia="Arial"/>
                <w:b w:val="0"/>
                <w:color w:val="1F2937"/>
                <w:sz w:val="22"/>
              </w:rPr>
              <w:t>GPT-4 + schema oracle</w:t>
            </w:r>
          </w:p>
        </w:tc>
        <w:tc>
          <w:tcPr>
            <w:tcW w:type="dxa" w:w="1814"/>
            <w:vAlign w:val="center"/>
            <w:shd w:val="clear" w:color="auto" w:fill="F8FAFC"/>
          </w:tcPr>
          <w:p>
            <w:pPr>
              <w:spacing w:after="40" w:before="40"/>
              <w:jc w:val="left"/>
            </w:pPr>
            <w:r/>
            <w:r>
              <w:rPr>
                <w:rFonts w:ascii="Arial" w:hAnsi="Arial" w:cs="Arial" w:eastAsia="Arial"/>
                <w:b w:val="0"/>
                <w:color w:val="1F2937"/>
                <w:sz w:val="22"/>
              </w:rPr>
              <w:t>70.28 %</w:t>
            </w:r>
          </w:p>
        </w:tc>
      </w:tr>
      <w:tr>
        <w:tc>
          <w:tcPr>
            <w:tcW w:type="dxa" w:w="5102"/>
            <w:vAlign w:val="center"/>
          </w:tcPr>
          <w:p>
            <w:pPr>
              <w:spacing w:after="40" w:before="40"/>
              <w:jc w:val="left"/>
            </w:pPr>
            <w:r/>
            <w:r>
              <w:rPr>
                <w:rFonts w:ascii="Arial" w:hAnsi="Arial" w:cs="Arial" w:eastAsia="Arial"/>
                <w:b w:val="0"/>
                <w:color w:val="1F2937"/>
                <w:sz w:val="22"/>
              </w:rPr>
              <w:t>Ours (this work)</w:t>
            </w:r>
          </w:p>
        </w:tc>
        <w:tc>
          <w:tcPr>
            <w:tcW w:type="dxa" w:w="2835"/>
            <w:vAlign w:val="center"/>
          </w:tcPr>
          <w:p>
            <w:pPr>
              <w:spacing w:after="40" w:before="40"/>
              <w:jc w:val="left"/>
            </w:pPr>
            <w:r/>
            <w:r>
              <w:rPr>
                <w:rFonts w:ascii="Arial" w:hAnsi="Arial" w:cs="Arial" w:eastAsia="Arial"/>
                <w:b w:val="0"/>
                <w:color w:val="1F2937"/>
                <w:sz w:val="22"/>
              </w:rPr>
              <w:t>Sonnet-4</w:t>
            </w:r>
          </w:p>
        </w:tc>
        <w:tc>
          <w:tcPr>
            <w:tcW w:type="dxa" w:w="1814"/>
            <w:vAlign w:val="center"/>
          </w:tcPr>
          <w:p>
            <w:pPr>
              <w:spacing w:after="40" w:before="40"/>
              <w:jc w:val="left"/>
            </w:pPr>
            <w:r/>
            <w:r>
              <w:rPr>
                <w:rFonts w:ascii="Arial" w:hAnsi="Arial" w:cs="Arial" w:eastAsia="Arial"/>
                <w:b w:val="0"/>
                <w:color w:val="1F2937"/>
                <w:sz w:val="22"/>
              </w:rPr>
              <w:t>68.0 % ★</w:t>
            </w:r>
          </w:p>
        </w:tc>
      </w:tr>
      <w:tr>
        <w:tc>
          <w:tcPr>
            <w:tcW w:type="dxa" w:w="5102"/>
            <w:vAlign w:val="center"/>
            <w:shd w:val="clear" w:color="auto" w:fill="F8FAFC"/>
          </w:tcPr>
          <w:p>
            <w:pPr>
              <w:spacing w:after="40" w:before="40"/>
              <w:jc w:val="left"/>
            </w:pPr>
            <w:r/>
            <w:r>
              <w:rPr>
                <w:rFonts w:ascii="Arial" w:hAnsi="Arial" w:cs="Arial" w:eastAsia="Arial"/>
                <w:b w:val="0"/>
                <w:color w:val="1F2937"/>
                <w:sz w:val="22"/>
              </w:rPr>
              <w:t>MAC-SQL re-implementation (this work)</w:t>
            </w:r>
          </w:p>
        </w:tc>
        <w:tc>
          <w:tcPr>
            <w:tcW w:type="dxa" w:w="2835"/>
            <w:vAlign w:val="center"/>
            <w:shd w:val="clear" w:color="auto" w:fill="F8FAFC"/>
          </w:tcPr>
          <w:p>
            <w:pPr>
              <w:spacing w:after="40" w:before="40"/>
              <w:jc w:val="left"/>
            </w:pPr>
            <w:r/>
            <w:r>
              <w:rPr>
                <w:rFonts w:ascii="Arial" w:hAnsi="Arial" w:cs="Arial" w:eastAsia="Arial"/>
                <w:b w:val="0"/>
                <w:color w:val="1F2937"/>
                <w:sz w:val="22"/>
              </w:rPr>
              <w:t>Sonnet-4</w:t>
            </w:r>
          </w:p>
        </w:tc>
        <w:tc>
          <w:tcPr>
            <w:tcW w:type="dxa" w:w="1814"/>
            <w:vAlign w:val="center"/>
            <w:shd w:val="clear" w:color="auto" w:fill="F8FAFC"/>
          </w:tcPr>
          <w:p>
            <w:pPr>
              <w:spacing w:after="40" w:before="40"/>
              <w:jc w:val="left"/>
            </w:pPr>
            <w:r/>
            <w:r>
              <w:rPr>
                <w:rFonts w:ascii="Arial" w:hAnsi="Arial" w:cs="Arial" w:eastAsia="Arial"/>
                <w:b w:val="0"/>
                <w:color w:val="1F2937"/>
                <w:sz w:val="22"/>
              </w:rPr>
              <w:t>70.0 % ★</w:t>
            </w:r>
          </w:p>
        </w:tc>
      </w:tr>
    </w:tbl>
    <w:p>
      <w:pPr>
        <w:spacing w:after="160" w:before="80" w:line="288" w:lineRule="auto"/>
        <w:jc w:val="center"/>
      </w:pPr>
      <w:r>
        <w:rPr>
          <w:rFonts w:ascii="Arial" w:hAnsi="Arial" w:cs="Arial" w:eastAsia="Arial"/>
          <w:b/>
          <w:color w:val="1F2937"/>
          <w:sz w:val="24"/>
        </w:rPr>
        <w:t>Table 7.  BIRD-dev head-to-head. Both systems clear the paper's published MAC-SQL+GPT-4 baseline by +8.6 pp and +10.6 pp respectively, approaching the OracleSchema upper bound without using a schema oracle.</w:t>
      </w:r>
    </w:p>
    <w:p>
      <w:pPr>
        <w:spacing w:after="160" w:before="0" w:line="288" w:lineRule="auto"/>
        <w:jc w:val="left"/>
      </w:pPr>
      <w:r>
        <w:rPr>
          <w:rFonts w:ascii="Arial" w:hAnsi="Arial" w:cs="Arial" w:eastAsia="Arial"/>
          <w:b w:val="0"/>
          <w:color w:val="1F2937"/>
          <w:sz w:val="24"/>
        </w:rPr>
        <w:t>MAC-SQL beats our system on BIRD by −2.0 pp. This is the expected outcome and is consistent with the dissertation's framing: BIRD is a pipeline-axis benchmark with no multi-turn, no row-level security, no cross-domain composition, and no fiscal-calendar temporal queries — none of the capabilities the domain-axis architecture is designed for. Our enterprise-specific layers (Router for SCM domains, Compliance for RBAC, Composer for cross-domain CTEs) do not activate on BIRD; the system runs in single-prompt mode. MAC-SQL's pipeline-axis Selector → Decomposer → Refiner is exactly what BIRD rewards. The architectural advantage emerges on SCM-SQL (Table 6) where the differentiators actually activate. Full writeup: ANALYSIS.md §1.8.</w:t>
      </w:r>
    </w:p>
    <w:p>
      <w:pPr>
        <w:spacing w:after="160" w:before="0" w:line="288" w:lineRule="auto"/>
        <w:jc w:val="left"/>
      </w:pPr>
      <w:r>
        <w:rPr>
          <w:rFonts w:ascii="Arial" w:hAnsi="Arial" w:cs="Arial" w:eastAsia="Arial"/>
          <w:b w:val="0"/>
          <w:color w:val="1F2937"/>
          <w:sz w:val="24"/>
        </w:rPr>
        <w:t>Two further sanity checks against public benchmarks (generic-mode, single-prompt) corroborate that the base SQL engine is sound on standard data: Spider 1.0 (50 queries, claude-haiku-4-5) achieves 100 % parseable SQL and 18 % sqlglot-canonical Exact Match. BIRD train sample (50 queries, same setup) achieves 98 % parseable SQL and 6 % EM. Lower EM rate on BIRD is expected because BIRD's queries involve 3-4 joins on average versus Spider's 1-2 and EM penalises join-order variance hard. Together these establish that the base LLM engine is not the bottleneck on standard benchmarks, and the lower SCM-SQL absolute numbers reflect the higher difficulty of the enterprise workload rather than a weak SQL writer.</w:t>
      </w:r>
    </w:p>
    <w:p>
      <w:pPr>
        <w:spacing w:after="80" w:before="200" w:line="288" w:lineRule="auto"/>
        <w:jc w:val="left"/>
      </w:pPr>
      <w:r>
        <w:rPr>
          <w:rFonts w:ascii="Arial" w:hAnsi="Arial" w:cs="Arial" w:eastAsia="Arial"/>
          <w:b/>
          <w:color w:val="1E3A8A"/>
          <w:sz w:val="28"/>
        </w:rPr>
        <w:t>Live demonstration  —  terminal + Next.js UI prototype</w:t>
      </w:r>
    </w:p>
    <w:p>
      <w:pPr>
        <w:spacing w:after="160" w:before="0" w:line="288" w:lineRule="auto"/>
        <w:jc w:val="left"/>
      </w:pPr>
      <w:r>
        <w:rPr>
          <w:rFonts w:ascii="Arial" w:hAnsi="Arial" w:cs="Arial" w:eastAsia="Arial"/>
          <w:b w:val="0"/>
          <w:color w:val="1F2937"/>
          <w:sz w:val="24"/>
        </w:rPr>
        <w:t>Two demonstration surfaces are available for the mid-semester viva. The terminal script (scripts/midsem_demo.py) exercises the system end-to-end in three minutes for about four cents in API spend across three representative queries (cross-domain composition, multi-turn dialogue, ambiguity refusal). The web prototype (Next.js 14 + Tailwind + TypeScript dashboard backed by a FastAPI gateway on localhost:8000) provides the same demonstration in a browser interface, with a chat input, multi-turn history sidebar, intent / domain / latency / cost chips per turn, a generated-SQL block with EXPLAIN-OK indicator, and a dedicated clarification-card UI when the AmbiguityResolver refuses a query. Production build is verified (npm run build passes, 91.5 kB First Load JS). Step-by-step demo instructions with expected outputs are documented in docs/viva/UI_DEMO_RUNBOOK.md.</w:t>
      </w:r>
    </w:p>
    <w:p>
      <w:r>
        <w:br w:type="page"/>
      </w:r>
    </w:p>
    <w:p>
      <w:pPr>
        <w:keepNext/>
        <w:spacing w:before="320" w:after="120"/>
      </w:pPr>
      <w:r>
        <w:rPr>
          <w:rFonts w:ascii="Arial" w:hAnsi="Arial" w:cs="Arial" w:eastAsia="Arial"/>
          <w:b/>
          <w:color w:val="1E3A8A"/>
          <w:sz w:val="28"/>
        </w:rPr>
        <w:t>4.6  Outline-Viva Feedback — Closure Matrix</w:t>
      </w:r>
    </w:p>
    <w:p>
      <w:pPr>
        <w:spacing w:after="160" w:before="0" w:line="288" w:lineRule="auto"/>
        <w:jc w:val="left"/>
      </w:pPr>
      <w:r>
        <w:rPr>
          <w:rFonts w:ascii="Arial" w:hAnsi="Arial" w:cs="Arial" w:eastAsia="Arial"/>
          <w:b w:val="0"/>
          <w:color w:val="1F2937"/>
          <w:sz w:val="24"/>
        </w:rPr>
        <w:t>The outline-viva panel raised ten specific concerns on 26 May 2026. This section maps each concern to the exact deliverable that closes it, with file paths for direct reference. The accompanying MENTOR_DEMO_GUIDE.md provides the same mapping in walkthrough form.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7"/>
            <w:vAlign w:val="center"/>
            <w:shd w:val="clear" w:color="auto" w:fill="1E3A8A"/>
          </w:tcPr>
          <w:p>
            <w:pPr>
              <w:spacing w:after="40" w:before="40"/>
              <w:jc w:val="left"/>
            </w:pPr>
            <w:r/>
            <w:r>
              <w:rPr>
                <w:rFonts w:ascii="Arial" w:hAnsi="Arial" w:cs="Arial" w:eastAsia="Arial"/>
                <w:b/>
                <w:color w:val="FFFFFF"/>
                <w:sz w:val="22"/>
              </w:rPr>
              <w:t>#</w:t>
            </w:r>
          </w:p>
        </w:tc>
        <w:tc>
          <w:tcPr>
            <w:tcW w:type="dxa" w:w="2551"/>
            <w:vAlign w:val="center"/>
            <w:shd w:val="clear" w:color="auto" w:fill="1E3A8A"/>
          </w:tcPr>
          <w:p>
            <w:pPr>
              <w:spacing w:after="40" w:before="40"/>
              <w:jc w:val="left"/>
            </w:pPr>
            <w:r/>
            <w:r>
              <w:rPr>
                <w:rFonts w:ascii="Arial" w:hAnsi="Arial" w:cs="Arial" w:eastAsia="Arial"/>
                <w:b/>
                <w:color w:val="FFFFFF"/>
                <w:sz w:val="22"/>
              </w:rPr>
              <w:t>Outline-viva concern</w:t>
            </w:r>
          </w:p>
        </w:tc>
        <w:tc>
          <w:tcPr>
            <w:tcW w:type="dxa" w:w="3402"/>
            <w:vAlign w:val="center"/>
            <w:shd w:val="clear" w:color="auto" w:fill="1E3A8A"/>
          </w:tcPr>
          <w:p>
            <w:pPr>
              <w:spacing w:after="40" w:before="40"/>
              <w:jc w:val="left"/>
            </w:pPr>
            <w:r/>
            <w:r>
              <w:rPr>
                <w:rFonts w:ascii="Arial" w:hAnsi="Arial" w:cs="Arial" w:eastAsia="Arial"/>
                <w:b/>
                <w:color w:val="FFFFFF"/>
                <w:sz w:val="22"/>
              </w:rPr>
              <w:t>How it is closed</w:t>
            </w:r>
          </w:p>
        </w:tc>
        <w:tc>
          <w:tcPr>
            <w:tcW w:type="dxa" w:w="2835"/>
            <w:vAlign w:val="center"/>
            <w:shd w:val="clear" w:color="auto" w:fill="1E3A8A"/>
          </w:tcPr>
          <w:p>
            <w:pPr>
              <w:spacing w:after="40" w:before="40"/>
              <w:jc w:val="left"/>
            </w:pPr>
            <w:r/>
            <w:r>
              <w:rPr>
                <w:rFonts w:ascii="Arial" w:hAnsi="Arial" w:cs="Arial" w:eastAsia="Arial"/>
                <w:b/>
                <w:color w:val="FFFFFF"/>
                <w:sz w:val="22"/>
              </w:rPr>
              <w:t>Evidence path</w:t>
            </w:r>
          </w:p>
        </w:tc>
      </w:tr>
      <w:tr>
        <w:tc>
          <w:tcPr>
            <w:tcW w:type="dxa" w:w="397"/>
            <w:vAlign w:val="center"/>
          </w:tcPr>
          <w:p>
            <w:pPr>
              <w:spacing w:after="40" w:before="40"/>
              <w:jc w:val="left"/>
            </w:pPr>
            <w:r/>
            <w:r>
              <w:rPr>
                <w:rFonts w:ascii="Arial" w:hAnsi="Arial" w:cs="Arial" w:eastAsia="Arial"/>
                <w:b w:val="0"/>
                <w:color w:val="1F2937"/>
                <w:sz w:val="22"/>
              </w:rPr>
              <w:t>1</w:t>
            </w:r>
          </w:p>
        </w:tc>
        <w:tc>
          <w:tcPr>
            <w:tcW w:type="dxa" w:w="2551"/>
            <w:vAlign w:val="center"/>
          </w:tcPr>
          <w:p>
            <w:pPr>
              <w:spacing w:after="40" w:before="40"/>
              <w:jc w:val="left"/>
            </w:pPr>
            <w:r/>
            <w:r>
              <w:rPr>
                <w:rFonts w:ascii="Arial" w:hAnsi="Arial" w:cs="Arial" w:eastAsia="Arial"/>
                <w:b w:val="0"/>
                <w:color w:val="1F2937"/>
                <w:sz w:val="22"/>
              </w:rPr>
              <w:t>Use research-paper datasets (Spider, BIRD) for comparison</w:t>
            </w:r>
          </w:p>
        </w:tc>
        <w:tc>
          <w:tcPr>
            <w:tcW w:type="dxa" w:w="3402"/>
            <w:vAlign w:val="center"/>
          </w:tcPr>
          <w:p>
            <w:pPr>
              <w:spacing w:after="40" w:before="40"/>
              <w:jc w:val="left"/>
            </w:pPr>
            <w:r/>
            <w:r>
              <w:rPr>
                <w:rFonts w:ascii="Arial" w:hAnsi="Arial" w:cs="Arial" w:eastAsia="Arial"/>
                <w:b w:val="0"/>
                <w:color w:val="1F2937"/>
                <w:sz w:val="22"/>
              </w:rPr>
              <w:t>Full BIRD-dev head-to-head with real EX against live SQLite databases. Both systems clear the paper's MAC-SQL+GPT-4 baseline (59.39 %) at 68.0 % and 70.0 % respectively. Spider 1.0 and BIRD generic-mode sanity checks (100 % / 98 % parse).</w:t>
            </w:r>
          </w:p>
        </w:tc>
        <w:tc>
          <w:tcPr>
            <w:tcW w:type="dxa" w:w="2835"/>
            <w:vAlign w:val="center"/>
          </w:tcPr>
          <w:p>
            <w:pPr>
              <w:spacing w:after="40" w:before="40"/>
              <w:jc w:val="left"/>
            </w:pPr>
            <w:r/>
            <w:r>
              <w:rPr>
                <w:rFonts w:ascii="Arial" w:hAnsi="Arial" w:cs="Arial" w:eastAsia="Arial"/>
                <w:b w:val="0"/>
                <w:color w:val="1F2937"/>
                <w:sz w:val="22"/>
              </w:rPr>
              <w:t>benchmark/bird_head_to_head/RESULTS.md; ANALYSIS.md §1.8</w:t>
            </w:r>
          </w:p>
        </w:tc>
      </w:tr>
      <w:tr>
        <w:tc>
          <w:tcPr>
            <w:tcW w:type="dxa" w:w="397"/>
            <w:vAlign w:val="center"/>
            <w:shd w:val="clear" w:color="auto" w:fill="F8FAFC"/>
          </w:tcPr>
          <w:p>
            <w:pPr>
              <w:spacing w:after="40" w:before="40"/>
              <w:jc w:val="left"/>
            </w:pPr>
            <w:r/>
            <w:r>
              <w:rPr>
                <w:rFonts w:ascii="Arial" w:hAnsi="Arial" w:cs="Arial" w:eastAsia="Arial"/>
                <w:b w:val="0"/>
                <w:color w:val="1F2937"/>
                <w:sz w:val="22"/>
              </w:rPr>
              <w:t>2</w:t>
            </w:r>
          </w:p>
        </w:tc>
        <w:tc>
          <w:tcPr>
            <w:tcW w:type="dxa" w:w="2551"/>
            <w:vAlign w:val="center"/>
            <w:shd w:val="clear" w:color="auto" w:fill="F8FAFC"/>
          </w:tcPr>
          <w:p>
            <w:pPr>
              <w:spacing w:after="40" w:before="40"/>
              <w:jc w:val="left"/>
            </w:pPr>
            <w:r/>
            <w:r>
              <w:rPr>
                <w:rFonts w:ascii="Arial" w:hAnsi="Arial" w:cs="Arial" w:eastAsia="Arial"/>
                <w:b w:val="0"/>
                <w:color w:val="1F2937"/>
                <w:sz w:val="22"/>
              </w:rPr>
              <w:t>Show statistical significance, not just point estimates</w:t>
            </w:r>
          </w:p>
        </w:tc>
        <w:tc>
          <w:tcPr>
            <w:tcW w:type="dxa" w:w="3402"/>
            <w:vAlign w:val="center"/>
            <w:shd w:val="clear" w:color="auto" w:fill="F8FAFC"/>
          </w:tcPr>
          <w:p>
            <w:pPr>
              <w:spacing w:after="40" w:before="40"/>
              <w:jc w:val="left"/>
            </w:pPr>
            <w:r/>
            <w:r>
              <w:rPr>
                <w:rFonts w:ascii="Arial" w:hAnsi="Arial" w:cs="Arial" w:eastAsia="Arial"/>
                <w:b w:val="0"/>
                <w:color w:val="1F2937"/>
                <w:sz w:val="22"/>
              </w:rPr>
              <w:t>Bootstrap 95 % CI, paired Wilcoxon signed-rank with Bonferroni correction, Cliff's δ. Honest reporting: p = 0.346 at n = 113, insufficient power; Phase 8's n ≈ 500 closes this.</w:t>
            </w:r>
          </w:p>
        </w:tc>
        <w:tc>
          <w:tcPr>
            <w:tcW w:type="dxa" w:w="2835"/>
            <w:vAlign w:val="center"/>
            <w:shd w:val="clear" w:color="auto" w:fill="F8FAFC"/>
          </w:tcPr>
          <w:p>
            <w:pPr>
              <w:spacing w:after="40" w:before="40"/>
              <w:jc w:val="left"/>
            </w:pPr>
            <w:r/>
            <w:r>
              <w:rPr>
                <w:rFonts w:ascii="Arial" w:hAnsi="Arial" w:cs="Arial" w:eastAsia="Arial"/>
                <w:b w:val="0"/>
                <w:color w:val="1F2937"/>
                <w:sz w:val="22"/>
              </w:rPr>
              <w:t>benchmark/scm_sql_pilot/STATISTICS.md; scripts/eval_stats.py</w:t>
            </w:r>
          </w:p>
        </w:tc>
      </w:tr>
      <w:tr>
        <w:tc>
          <w:tcPr>
            <w:tcW w:type="dxa" w:w="397"/>
            <w:vAlign w:val="center"/>
          </w:tcPr>
          <w:p>
            <w:pPr>
              <w:spacing w:after="40" w:before="40"/>
              <w:jc w:val="left"/>
            </w:pPr>
            <w:r/>
            <w:r>
              <w:rPr>
                <w:rFonts w:ascii="Arial" w:hAnsi="Arial" w:cs="Arial" w:eastAsia="Arial"/>
                <w:b w:val="0"/>
                <w:color w:val="1F2937"/>
                <w:sz w:val="22"/>
              </w:rPr>
              <w:t>3</w:t>
            </w:r>
          </w:p>
        </w:tc>
        <w:tc>
          <w:tcPr>
            <w:tcW w:type="dxa" w:w="2551"/>
            <w:vAlign w:val="center"/>
          </w:tcPr>
          <w:p>
            <w:pPr>
              <w:spacing w:after="40" w:before="40"/>
              <w:jc w:val="left"/>
            </w:pPr>
            <w:r/>
            <w:r>
              <w:rPr>
                <w:rFonts w:ascii="Arial" w:hAnsi="Arial" w:cs="Arial" w:eastAsia="Arial"/>
                <w:b w:val="0"/>
                <w:color w:val="1F2937"/>
                <w:sz w:val="22"/>
              </w:rPr>
              <w:t>Clear evaluation framework with up-front commitments</w:t>
            </w:r>
          </w:p>
        </w:tc>
        <w:tc>
          <w:tcPr>
            <w:tcW w:type="dxa" w:w="3402"/>
            <w:vAlign w:val="center"/>
          </w:tcPr>
          <w:p>
            <w:pPr>
              <w:spacing w:after="40" w:before="40"/>
              <w:jc w:val="left"/>
            </w:pPr>
            <w:r/>
            <w:r>
              <w:rPr>
                <w:rFonts w:ascii="Arial" w:hAnsi="Arial" w:cs="Arial" w:eastAsia="Arial"/>
                <w:b w:val="0"/>
                <w:color w:val="1F2937"/>
                <w:sz w:val="22"/>
              </w:rPr>
              <w:t>13-section framework document with 7 numerical commitments, formal EX / VES / EM definitions, and fairness contract.</w:t>
            </w:r>
          </w:p>
        </w:tc>
        <w:tc>
          <w:tcPr>
            <w:tcW w:type="dxa" w:w="2835"/>
            <w:vAlign w:val="center"/>
          </w:tcPr>
          <w:p>
            <w:pPr>
              <w:spacing w:after="40" w:before="40"/>
              <w:jc w:val="left"/>
            </w:pPr>
            <w:r/>
            <w:r>
              <w:rPr>
                <w:rFonts w:ascii="Arial" w:hAnsi="Arial" w:cs="Arial" w:eastAsia="Arial"/>
                <w:b w:val="0"/>
                <w:color w:val="1F2937"/>
                <w:sz w:val="22"/>
              </w:rPr>
              <w:t>docs/eval/EVALUATION_FRAMEWORK.md §11</w:t>
            </w:r>
          </w:p>
        </w:tc>
      </w:tr>
      <w:tr>
        <w:tc>
          <w:tcPr>
            <w:tcW w:type="dxa" w:w="397"/>
            <w:vAlign w:val="center"/>
            <w:shd w:val="clear" w:color="auto" w:fill="F8FAFC"/>
          </w:tcPr>
          <w:p>
            <w:pPr>
              <w:spacing w:after="40" w:before="40"/>
              <w:jc w:val="left"/>
            </w:pPr>
            <w:r/>
            <w:r>
              <w:rPr>
                <w:rFonts w:ascii="Arial" w:hAnsi="Arial" w:cs="Arial" w:eastAsia="Arial"/>
                <w:b w:val="0"/>
                <w:color w:val="1F2937"/>
                <w:sz w:val="22"/>
              </w:rPr>
              <w:t>4</w:t>
            </w:r>
          </w:p>
        </w:tc>
        <w:tc>
          <w:tcPr>
            <w:tcW w:type="dxa" w:w="2551"/>
            <w:vAlign w:val="center"/>
            <w:shd w:val="clear" w:color="auto" w:fill="F8FAFC"/>
          </w:tcPr>
          <w:p>
            <w:pPr>
              <w:spacing w:after="40" w:before="40"/>
              <w:jc w:val="left"/>
            </w:pPr>
            <w:r/>
            <w:r>
              <w:rPr>
                <w:rFonts w:ascii="Arial" w:hAnsi="Arial" w:cs="Arial" w:eastAsia="Arial"/>
                <w:b w:val="0"/>
                <w:color w:val="1F2937"/>
                <w:sz w:val="22"/>
              </w:rPr>
              <w:t>Apples-to-apples head-to-head with a published architecture</w:t>
            </w:r>
          </w:p>
        </w:tc>
        <w:tc>
          <w:tcPr>
            <w:tcW w:type="dxa" w:w="3402"/>
            <w:vAlign w:val="center"/>
            <w:shd w:val="clear" w:color="auto" w:fill="F8FAFC"/>
          </w:tcPr>
          <w:p>
            <w:pPr>
              <w:spacing w:after="40" w:before="40"/>
              <w:jc w:val="left"/>
            </w:pPr>
            <w:r/>
            <w:r>
              <w:rPr>
                <w:rFonts w:ascii="Arial" w:hAnsi="Arial" w:cs="Arial" w:eastAsia="Arial"/>
                <w:b w:val="0"/>
                <w:color w:val="1F2937"/>
                <w:sz w:val="22"/>
              </w:rPr>
              <w:t>MAC-SQL (Wang et al., COLING 2025) reimplemented with the same LLM backbone. SCM-SQL: +3.5 pp overall, +10 pp on L2 (rock-solid across n = 56 → n = 113). BIRD: 68 vs 70 % (both above paper).</w:t>
            </w:r>
          </w:p>
        </w:tc>
        <w:tc>
          <w:tcPr>
            <w:tcW w:type="dxa" w:w="2835"/>
            <w:vAlign w:val="center"/>
            <w:shd w:val="clear" w:color="auto" w:fill="F8FAFC"/>
          </w:tcPr>
          <w:p>
            <w:pPr>
              <w:spacing w:after="40" w:before="40"/>
              <w:jc w:val="left"/>
            </w:pPr>
            <w:r/>
            <w:r>
              <w:rPr>
                <w:rFonts w:ascii="Arial" w:hAnsi="Arial" w:cs="Arial" w:eastAsia="Arial"/>
                <w:b w:val="0"/>
                <w:color w:val="1F2937"/>
                <w:sz w:val="22"/>
              </w:rPr>
              <w:t>backend/app/baselines/mac_sql.py; scripts/run_evaluation.py; scripts/run_bird_head_to_head.py</w:t>
            </w:r>
          </w:p>
        </w:tc>
      </w:tr>
      <w:tr>
        <w:tc>
          <w:tcPr>
            <w:tcW w:type="dxa" w:w="397"/>
            <w:vAlign w:val="center"/>
          </w:tcPr>
          <w:p>
            <w:pPr>
              <w:spacing w:after="40" w:before="40"/>
              <w:jc w:val="left"/>
            </w:pPr>
            <w:r/>
            <w:r>
              <w:rPr>
                <w:rFonts w:ascii="Arial" w:hAnsi="Arial" w:cs="Arial" w:eastAsia="Arial"/>
                <w:b w:val="0"/>
                <w:color w:val="1F2937"/>
                <w:sz w:val="22"/>
              </w:rPr>
              <w:t>5</w:t>
            </w:r>
          </w:p>
        </w:tc>
        <w:tc>
          <w:tcPr>
            <w:tcW w:type="dxa" w:w="2551"/>
            <w:vAlign w:val="center"/>
          </w:tcPr>
          <w:p>
            <w:pPr>
              <w:spacing w:after="40" w:before="40"/>
              <w:jc w:val="left"/>
            </w:pPr>
            <w:r/>
            <w:r>
              <w:rPr>
                <w:rFonts w:ascii="Arial" w:hAnsi="Arial" w:cs="Arial" w:eastAsia="Arial"/>
                <w:b w:val="0"/>
                <w:color w:val="1F2937"/>
                <w:sz w:val="22"/>
              </w:rPr>
              <w:t>Address strict-EX column-naming brittleness</w:t>
            </w:r>
          </w:p>
        </w:tc>
        <w:tc>
          <w:tcPr>
            <w:tcW w:type="dxa" w:w="3402"/>
            <w:vAlign w:val="center"/>
          </w:tcPr>
          <w:p>
            <w:pPr>
              <w:spacing w:after="40" w:before="40"/>
              <w:jc w:val="left"/>
            </w:pPr>
            <w:r/>
            <w:r>
              <w:rPr>
                <w:rFonts w:ascii="Arial" w:hAnsi="Arial" w:cs="Arial" w:eastAsia="Arial"/>
                <w:b w:val="0"/>
                <w:color w:val="1F2937"/>
                <w:sz w:val="22"/>
              </w:rPr>
              <w:t>Soft-EX metric (row-count + value-multiset, column-name agnostic). Router prompt tightened with explicit business-domain vocabulary.</w:t>
            </w:r>
          </w:p>
        </w:tc>
        <w:tc>
          <w:tcPr>
            <w:tcW w:type="dxa" w:w="2835"/>
            <w:vAlign w:val="center"/>
          </w:tcPr>
          <w:p>
            <w:pPr>
              <w:spacing w:after="40" w:before="40"/>
              <w:jc w:val="left"/>
            </w:pPr>
            <w:r/>
            <w:r>
              <w:rPr>
                <w:rFonts w:ascii="Arial" w:hAnsi="Arial" w:cs="Arial" w:eastAsia="Arial"/>
                <w:b w:val="0"/>
                <w:color w:val="1F2937"/>
                <w:sz w:val="22"/>
              </w:rPr>
              <w:t>backend/app/eval/metrics.py::compute_soft_ex; backend/app/agents/router.py</w:t>
            </w:r>
          </w:p>
        </w:tc>
      </w:tr>
      <w:tr>
        <w:tc>
          <w:tcPr>
            <w:tcW w:type="dxa" w:w="397"/>
            <w:vAlign w:val="center"/>
            <w:shd w:val="clear" w:color="auto" w:fill="F8FAFC"/>
          </w:tcPr>
          <w:p>
            <w:pPr>
              <w:spacing w:after="40" w:before="40"/>
              <w:jc w:val="left"/>
            </w:pPr>
            <w:r/>
            <w:r>
              <w:rPr>
                <w:rFonts w:ascii="Arial" w:hAnsi="Arial" w:cs="Arial" w:eastAsia="Arial"/>
                <w:b w:val="0"/>
                <w:color w:val="1F2937"/>
                <w:sz w:val="22"/>
              </w:rPr>
              <w:t>6</w:t>
            </w:r>
          </w:p>
        </w:tc>
        <w:tc>
          <w:tcPr>
            <w:tcW w:type="dxa" w:w="2551"/>
            <w:vAlign w:val="center"/>
            <w:shd w:val="clear" w:color="auto" w:fill="F8FAFC"/>
          </w:tcPr>
          <w:p>
            <w:pPr>
              <w:spacing w:after="40" w:before="40"/>
              <w:jc w:val="left"/>
            </w:pPr>
            <w:r/>
            <w:r>
              <w:rPr>
                <w:rFonts w:ascii="Arial" w:hAnsi="Arial" w:cs="Arial" w:eastAsia="Arial"/>
                <w:b w:val="0"/>
                <w:color w:val="1F2937"/>
                <w:sz w:val="22"/>
              </w:rPr>
              <w:t>Rehearsable demo with backup</w:t>
            </w:r>
          </w:p>
        </w:tc>
        <w:tc>
          <w:tcPr>
            <w:tcW w:type="dxa" w:w="3402"/>
            <w:vAlign w:val="center"/>
            <w:shd w:val="clear" w:color="auto" w:fill="F8FAFC"/>
          </w:tcPr>
          <w:p>
            <w:pPr>
              <w:spacing w:after="40" w:before="40"/>
              <w:jc w:val="left"/>
            </w:pPr>
            <w:r/>
            <w:r>
              <w:rPr>
                <w:rFonts w:ascii="Arial" w:hAnsi="Arial" w:cs="Arial" w:eastAsia="Arial"/>
                <w:b w:val="0"/>
                <w:color w:val="1F2937"/>
                <w:sz w:val="22"/>
              </w:rPr>
              <w:t>Three-demo terminal script + narration script + recording instructions + clean transcript proving end-to-end run. UI runbook with expected outputs verified against live DB.</w:t>
            </w:r>
          </w:p>
        </w:tc>
        <w:tc>
          <w:tcPr>
            <w:tcW w:type="dxa" w:w="2835"/>
            <w:vAlign w:val="center"/>
            <w:shd w:val="clear" w:color="auto" w:fill="F8FAFC"/>
          </w:tcPr>
          <w:p>
            <w:pPr>
              <w:spacing w:after="40" w:before="40"/>
              <w:jc w:val="left"/>
            </w:pPr>
            <w:r/>
            <w:r>
              <w:rPr>
                <w:rFonts w:ascii="Arial" w:hAnsi="Arial" w:cs="Arial" w:eastAsia="Arial"/>
                <w:b w:val="0"/>
                <w:color w:val="1F2937"/>
                <w:sz w:val="22"/>
              </w:rPr>
              <w:t>scripts/midsem_demo.py; docs/viva/MIDSEM_DEMO_NARRATION.md; docs/viva/UI_DEMO_RUNBOOK.md</w:t>
            </w:r>
          </w:p>
        </w:tc>
      </w:tr>
      <w:tr>
        <w:tc>
          <w:tcPr>
            <w:tcW w:type="dxa" w:w="397"/>
            <w:vAlign w:val="center"/>
          </w:tcPr>
          <w:p>
            <w:pPr>
              <w:spacing w:after="40" w:before="40"/>
              <w:jc w:val="left"/>
            </w:pPr>
            <w:r/>
            <w:r>
              <w:rPr>
                <w:rFonts w:ascii="Arial" w:hAnsi="Arial" w:cs="Arial" w:eastAsia="Arial"/>
                <w:b w:val="0"/>
                <w:color w:val="1F2937"/>
                <w:sz w:val="22"/>
              </w:rPr>
              <w:t>7</w:t>
            </w:r>
          </w:p>
        </w:tc>
        <w:tc>
          <w:tcPr>
            <w:tcW w:type="dxa" w:w="2551"/>
            <w:vAlign w:val="center"/>
          </w:tcPr>
          <w:p>
            <w:pPr>
              <w:spacing w:after="40" w:before="40"/>
              <w:jc w:val="left"/>
            </w:pPr>
            <w:r/>
            <w:r>
              <w:rPr>
                <w:rFonts w:ascii="Arial" w:hAnsi="Arial" w:cs="Arial" w:eastAsia="Arial"/>
                <w:b w:val="0"/>
                <w:color w:val="1F2937"/>
                <w:sz w:val="22"/>
              </w:rPr>
              <w:t>Show a working UI prototype, not just terminal</w:t>
            </w:r>
          </w:p>
        </w:tc>
        <w:tc>
          <w:tcPr>
            <w:tcW w:type="dxa" w:w="3402"/>
            <w:vAlign w:val="center"/>
          </w:tcPr>
          <w:p>
            <w:pPr>
              <w:spacing w:after="40" w:before="40"/>
              <w:jc w:val="left"/>
            </w:pPr>
            <w:r/>
            <w:r>
              <w:rPr>
                <w:rFonts w:ascii="Arial" w:hAnsi="Arial" w:cs="Arial" w:eastAsia="Arial"/>
                <w:b w:val="0"/>
                <w:color w:val="1F2937"/>
                <w:sz w:val="22"/>
              </w:rPr>
              <w:t>Next.js 14 dashboard with multi-turn sidebar + FastAPI gateway. Build verified, three HTTP-contract tests pass.</w:t>
            </w:r>
          </w:p>
        </w:tc>
        <w:tc>
          <w:tcPr>
            <w:tcW w:type="dxa" w:w="2835"/>
            <w:vAlign w:val="center"/>
          </w:tcPr>
          <w:p>
            <w:pPr>
              <w:spacing w:after="40" w:before="40"/>
              <w:jc w:val="left"/>
            </w:pPr>
            <w:r/>
            <w:r>
              <w:rPr>
                <w:rFonts w:ascii="Arial" w:hAnsi="Arial" w:cs="Arial" w:eastAsia="Arial"/>
                <w:b w:val="0"/>
                <w:color w:val="1F2937"/>
                <w:sz w:val="22"/>
              </w:rPr>
              <w:t>frontend/app/page.tsx; backend/app/api/main.py</w:t>
            </w:r>
          </w:p>
        </w:tc>
      </w:tr>
      <w:tr>
        <w:tc>
          <w:tcPr>
            <w:tcW w:type="dxa" w:w="397"/>
            <w:vAlign w:val="center"/>
            <w:shd w:val="clear" w:color="auto" w:fill="F8FAFC"/>
          </w:tcPr>
          <w:p>
            <w:pPr>
              <w:spacing w:after="40" w:before="40"/>
              <w:jc w:val="left"/>
            </w:pPr>
            <w:r/>
            <w:r>
              <w:rPr>
                <w:rFonts w:ascii="Arial" w:hAnsi="Arial" w:cs="Arial" w:eastAsia="Arial"/>
                <w:b w:val="0"/>
                <w:color w:val="1F2937"/>
                <w:sz w:val="22"/>
              </w:rPr>
              <w:t>8</w:t>
            </w:r>
          </w:p>
        </w:tc>
        <w:tc>
          <w:tcPr>
            <w:tcW w:type="dxa" w:w="2551"/>
            <w:vAlign w:val="center"/>
            <w:shd w:val="clear" w:color="auto" w:fill="F8FAFC"/>
          </w:tcPr>
          <w:p>
            <w:pPr>
              <w:spacing w:after="40" w:before="40"/>
              <w:jc w:val="left"/>
            </w:pPr>
            <w:r/>
            <w:r>
              <w:rPr>
                <w:rFonts w:ascii="Arial" w:hAnsi="Arial" w:cs="Arial" w:eastAsia="Arial"/>
                <w:b w:val="0"/>
                <w:color w:val="1F2937"/>
                <w:sz w:val="22"/>
              </w:rPr>
              <w:t>Mid-sem report in BITS WILP format</w:t>
            </w:r>
          </w:p>
        </w:tc>
        <w:tc>
          <w:tcPr>
            <w:tcW w:type="dxa" w:w="3402"/>
            <w:vAlign w:val="center"/>
            <w:shd w:val="clear" w:color="auto" w:fill="F8FAFC"/>
          </w:tcPr>
          <w:p>
            <w:pPr>
              <w:spacing w:after="40" w:before="40"/>
              <w:jc w:val="left"/>
            </w:pPr>
            <w:r/>
            <w:r>
              <w:rPr>
                <w:rFonts w:ascii="Arial" w:hAnsi="Arial" w:cs="Arial" w:eastAsia="Arial"/>
                <w:b w:val="0"/>
                <w:color w:val="1F2937"/>
                <w:sz w:val="22"/>
              </w:rPr>
              <w:t>Three font variants (Times New Roman, Arial, Verdana) with the required font-size hierarchy.</w:t>
            </w:r>
          </w:p>
        </w:tc>
        <w:tc>
          <w:tcPr>
            <w:tcW w:type="dxa" w:w="2835"/>
            <w:vAlign w:val="center"/>
            <w:shd w:val="clear" w:color="auto" w:fill="F8FAFC"/>
          </w:tcPr>
          <w:p>
            <w:pPr>
              <w:spacing w:after="40" w:before="40"/>
              <w:jc w:val="left"/>
            </w:pPr>
            <w:r/>
            <w:r>
              <w:rPr>
                <w:rFonts w:ascii="Arial" w:hAnsi="Arial" w:cs="Arial" w:eastAsia="Arial"/>
                <w:b w:val="0"/>
                <w:color w:val="1F2937"/>
                <w:sz w:val="22"/>
              </w:rPr>
              <w:t>docs/midsem/Midsem_Report_2024AA05175_*.docx</w:t>
            </w:r>
          </w:p>
        </w:tc>
      </w:tr>
      <w:tr>
        <w:tc>
          <w:tcPr>
            <w:tcW w:type="dxa" w:w="397"/>
            <w:vAlign w:val="center"/>
          </w:tcPr>
          <w:p>
            <w:pPr>
              <w:spacing w:after="40" w:before="40"/>
              <w:jc w:val="left"/>
            </w:pPr>
            <w:r/>
            <w:r>
              <w:rPr>
                <w:rFonts w:ascii="Arial" w:hAnsi="Arial" w:cs="Arial" w:eastAsia="Arial"/>
                <w:b w:val="0"/>
                <w:color w:val="1F2937"/>
                <w:sz w:val="22"/>
              </w:rPr>
              <w:t>9</w:t>
            </w:r>
          </w:p>
        </w:tc>
        <w:tc>
          <w:tcPr>
            <w:tcW w:type="dxa" w:w="2551"/>
            <w:vAlign w:val="center"/>
          </w:tcPr>
          <w:p>
            <w:pPr>
              <w:spacing w:after="40" w:before="40"/>
              <w:jc w:val="left"/>
            </w:pPr>
            <w:r/>
            <w:r>
              <w:rPr>
                <w:rFonts w:ascii="Arial" w:hAnsi="Arial" w:cs="Arial" w:eastAsia="Arial"/>
                <w:b w:val="0"/>
                <w:color w:val="1F2937"/>
                <w:sz w:val="22"/>
              </w:rPr>
              <w:t>LLM model justification — why claude-haiku-4-5?</w:t>
            </w:r>
          </w:p>
        </w:tc>
        <w:tc>
          <w:tcPr>
            <w:tcW w:type="dxa" w:w="3402"/>
            <w:vAlign w:val="center"/>
          </w:tcPr>
          <w:p>
            <w:pPr>
              <w:spacing w:after="40" w:before="40"/>
              <w:jc w:val="left"/>
            </w:pPr>
            <w:r/>
            <w:r>
              <w:rPr>
                <w:rFonts w:ascii="Arial" w:hAnsi="Arial" w:cs="Arial" w:eastAsia="Arial"/>
                <w:b w:val="0"/>
                <w:color w:val="1F2937"/>
                <w:sz w:val="22"/>
              </w:rPr>
              <w:t>LLM-scaling ablation across Haiku / Sonnet. L3 advantage grows from +13.3 pp to +20.0 pp on Sonnet — architecture concentrates on hard queries regardless of LLM size.</w:t>
            </w:r>
          </w:p>
        </w:tc>
        <w:tc>
          <w:tcPr>
            <w:tcW w:type="dxa" w:w="2835"/>
            <w:vAlign w:val="center"/>
          </w:tcPr>
          <w:p>
            <w:pPr>
              <w:spacing w:after="40" w:before="40"/>
              <w:jc w:val="left"/>
            </w:pPr>
            <w:r/>
            <w:r>
              <w:rPr>
                <w:rFonts w:ascii="Arial" w:hAnsi="Arial" w:cs="Arial" w:eastAsia="Arial"/>
                <w:b w:val="0"/>
                <w:color w:val="1F2937"/>
                <w:sz w:val="22"/>
              </w:rPr>
              <w:t>benchmark/scm_sql_pilot/RESULTS_sonnet.md; ANALYSIS.md §2.5</w:t>
            </w:r>
          </w:p>
        </w:tc>
      </w:tr>
      <w:tr>
        <w:tc>
          <w:tcPr>
            <w:tcW w:type="dxa" w:w="397"/>
            <w:vAlign w:val="center"/>
            <w:shd w:val="clear" w:color="auto" w:fill="F8FAFC"/>
          </w:tcPr>
          <w:p>
            <w:pPr>
              <w:spacing w:after="40" w:before="40"/>
              <w:jc w:val="left"/>
            </w:pPr>
            <w:r/>
            <w:r>
              <w:rPr>
                <w:rFonts w:ascii="Arial" w:hAnsi="Arial" w:cs="Arial" w:eastAsia="Arial"/>
                <w:b w:val="0"/>
                <w:color w:val="1F2937"/>
                <w:sz w:val="22"/>
              </w:rPr>
              <w:t>10</w:t>
            </w:r>
          </w:p>
        </w:tc>
        <w:tc>
          <w:tcPr>
            <w:tcW w:type="dxa" w:w="2551"/>
            <w:vAlign w:val="center"/>
            <w:shd w:val="clear" w:color="auto" w:fill="F8FAFC"/>
          </w:tcPr>
          <w:p>
            <w:pPr>
              <w:spacing w:after="40" w:before="40"/>
              <w:jc w:val="left"/>
            </w:pPr>
            <w:r/>
            <w:r>
              <w:rPr>
                <w:rFonts w:ascii="Arial" w:hAnsi="Arial" w:cs="Arial" w:eastAsia="Arial"/>
                <w:b w:val="0"/>
                <w:color w:val="1F2937"/>
                <w:sz w:val="22"/>
              </w:rPr>
              <w:t>Failure-mode honesty — what does NOT work</w:t>
            </w:r>
          </w:p>
        </w:tc>
        <w:tc>
          <w:tcPr>
            <w:tcW w:type="dxa" w:w="3402"/>
            <w:vAlign w:val="center"/>
            <w:shd w:val="clear" w:color="auto" w:fill="F8FAFC"/>
          </w:tcPr>
          <w:p>
            <w:pPr>
              <w:spacing w:after="40" w:before="40"/>
              <w:jc w:val="left"/>
            </w:pPr>
            <w:r/>
            <w:r>
              <w:rPr>
                <w:rFonts w:ascii="Arial" w:hAnsi="Arial" w:cs="Arial" w:eastAsia="Arial"/>
                <w:b w:val="0"/>
                <w:color w:val="1F2937"/>
                <w:sz w:val="22"/>
              </w:rPr>
              <w:t>Failure analysis with concrete worked examples; honest reporting of L4 / L5 at 0 %, the YoY-data limit in demo data, and stat-power caveats.</w:t>
            </w:r>
          </w:p>
        </w:tc>
        <w:tc>
          <w:tcPr>
            <w:tcW w:type="dxa" w:w="2835"/>
            <w:vAlign w:val="center"/>
            <w:shd w:val="clear" w:color="auto" w:fill="F8FAFC"/>
          </w:tcPr>
          <w:p>
            <w:pPr>
              <w:spacing w:after="40" w:before="40"/>
              <w:jc w:val="left"/>
            </w:pPr>
            <w:r/>
            <w:r>
              <w:rPr>
                <w:rFonts w:ascii="Arial" w:hAnsi="Arial" w:cs="Arial" w:eastAsia="Arial"/>
                <w:b w:val="0"/>
                <w:color w:val="1F2937"/>
                <w:sz w:val="22"/>
              </w:rPr>
              <w:t>ANALYSIS.md §2 / §3 / §5</w:t>
            </w:r>
          </w:p>
        </w:tc>
      </w:tr>
    </w:tbl>
    <w:p>
      <w:pPr>
        <w:spacing w:after="160" w:before="80" w:line="288" w:lineRule="auto"/>
        <w:jc w:val="center"/>
      </w:pPr>
      <w:r>
        <w:rPr>
          <w:rFonts w:ascii="Arial" w:hAnsi="Arial" w:cs="Arial" w:eastAsia="Arial"/>
          <w:b/>
          <w:color w:val="1F2937"/>
          <w:sz w:val="24"/>
        </w:rPr>
        <w:t>Table 8.  Outline-viva feedback closure matrix. All ten concerns are addressed in code and documentation.</w:t>
      </w:r>
    </w:p>
    <w:p>
      <w:r>
        <w:br w:type="page"/>
      </w:r>
    </w:p>
    <w:p>
      <w:pPr>
        <w:keepNext/>
        <w:spacing w:before="320" w:after="120"/>
      </w:pPr>
      <w:r>
        <w:rPr>
          <w:rFonts w:ascii="Arial" w:hAnsi="Arial" w:cs="Arial" w:eastAsia="Arial"/>
          <w:b/>
          <w:color w:val="1E3A8A"/>
          <w:sz w:val="28"/>
        </w:rPr>
        <w:t>5.  Future Plan</w:t>
      </w:r>
    </w:p>
    <w:p>
      <w:pPr>
        <w:spacing w:after="120" w:before="0" w:line="288" w:lineRule="auto"/>
        <w:jc w:val="left"/>
      </w:pPr>
      <w:r>
        <w:rPr>
          <w:rFonts w:ascii="Arial" w:hAnsi="Arial" w:cs="Arial" w:eastAsia="Arial"/>
          <w:b w:val="0"/>
          <w:color w:val="1F2937"/>
          <w:sz w:val="24"/>
        </w:rPr>
        <w:t>Table 2 enumerates the ten planned phases of the dissertation, the actual or projected dates, the work carried out (or planned), and the status. Phases one through seven plus the post-feedback evaluation-engineering pass are complete. Phase 8 (full 500-query benchmark), Phase 9 (production frontend polish; an MVP is shipped), and Phase 10 (paper, ablations, dissertation) remain.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454"/>
            <w:vAlign w:val="center"/>
            <w:shd w:val="clear" w:color="auto" w:fill="1E3A8A"/>
          </w:tcPr>
          <w:p>
            <w:pPr>
              <w:spacing w:after="40" w:before="40"/>
              <w:jc w:val="left"/>
            </w:pPr>
            <w:r/>
            <w:r>
              <w:rPr>
                <w:rFonts w:ascii="Arial" w:hAnsi="Arial" w:cs="Arial" w:eastAsia="Arial"/>
                <w:b/>
                <w:color w:val="FFFFFF"/>
                <w:sz w:val="22"/>
              </w:rPr>
              <w:t>#</w:t>
            </w:r>
          </w:p>
        </w:tc>
        <w:tc>
          <w:tcPr>
            <w:tcW w:type="dxa" w:w="2098"/>
            <w:vAlign w:val="center"/>
            <w:shd w:val="clear" w:color="auto" w:fill="1E3A8A"/>
          </w:tcPr>
          <w:p>
            <w:pPr>
              <w:spacing w:after="40" w:before="40"/>
              <w:jc w:val="left"/>
            </w:pPr>
            <w:r/>
            <w:r>
              <w:rPr>
                <w:rFonts w:ascii="Arial" w:hAnsi="Arial" w:cs="Arial" w:eastAsia="Arial"/>
                <w:b/>
                <w:color w:val="FFFFFF"/>
                <w:sz w:val="22"/>
              </w:rPr>
              <w:t>Phase</w:t>
            </w:r>
          </w:p>
        </w:tc>
        <w:tc>
          <w:tcPr>
            <w:tcW w:type="dxa" w:w="1984"/>
            <w:vAlign w:val="center"/>
            <w:shd w:val="clear" w:color="auto" w:fill="1E3A8A"/>
          </w:tcPr>
          <w:p>
            <w:pPr>
              <w:spacing w:after="40" w:before="40"/>
              <w:jc w:val="left"/>
            </w:pPr>
            <w:r/>
            <w:r>
              <w:rPr>
                <w:rFonts w:ascii="Arial" w:hAnsi="Arial" w:cs="Arial" w:eastAsia="Arial"/>
                <w:b/>
                <w:color w:val="FFFFFF"/>
                <w:sz w:val="22"/>
              </w:rPr>
              <w:t>Date Range</w:t>
            </w:r>
          </w:p>
        </w:tc>
        <w:tc>
          <w:tcPr>
            <w:tcW w:type="dxa" w:w="3118"/>
            <w:vAlign w:val="center"/>
            <w:shd w:val="clear" w:color="auto" w:fill="1E3A8A"/>
          </w:tcPr>
          <w:p>
            <w:pPr>
              <w:spacing w:after="40" w:before="40"/>
              <w:jc w:val="left"/>
            </w:pPr>
            <w:r/>
            <w:r>
              <w:rPr>
                <w:rFonts w:ascii="Arial" w:hAnsi="Arial" w:cs="Arial" w:eastAsia="Arial"/>
                <w:b/>
                <w:color w:val="FFFFFF"/>
                <w:sz w:val="22"/>
              </w:rPr>
              <w:t>Work</w:t>
            </w:r>
          </w:p>
        </w:tc>
        <w:tc>
          <w:tcPr>
            <w:tcW w:type="dxa" w:w="1587"/>
            <w:vAlign w:val="center"/>
            <w:shd w:val="clear" w:color="auto" w:fill="1E3A8A"/>
          </w:tcPr>
          <w:p>
            <w:pPr>
              <w:spacing w:after="40" w:before="40"/>
              <w:jc w:val="left"/>
            </w:pPr>
            <w:r/>
            <w:r>
              <w:rPr>
                <w:rFonts w:ascii="Arial" w:hAnsi="Arial" w:cs="Arial" w:eastAsia="Arial"/>
                <w:b/>
                <w:color w:val="FFFFFF"/>
                <w:sz w:val="22"/>
              </w:rPr>
              <w:t>Status</w:t>
            </w:r>
          </w:p>
        </w:tc>
      </w:tr>
      <w:tr>
        <w:tc>
          <w:tcPr>
            <w:tcW w:type="dxa" w:w="454"/>
            <w:vAlign w:val="center"/>
          </w:tcPr>
          <w:p>
            <w:pPr>
              <w:spacing w:after="40" w:before="40"/>
              <w:jc w:val="left"/>
            </w:pPr>
            <w:r/>
            <w:r>
              <w:rPr>
                <w:rFonts w:ascii="Arial" w:hAnsi="Arial" w:cs="Arial" w:eastAsia="Arial"/>
                <w:b w:val="0"/>
                <w:color w:val="1F2937"/>
                <w:sz w:val="22"/>
              </w:rPr>
              <w:t>1</w:t>
            </w:r>
          </w:p>
        </w:tc>
        <w:tc>
          <w:tcPr>
            <w:tcW w:type="dxa" w:w="2098"/>
            <w:vAlign w:val="center"/>
          </w:tcPr>
          <w:p>
            <w:pPr>
              <w:spacing w:after="40" w:before="40"/>
              <w:jc w:val="left"/>
            </w:pPr>
            <w:r/>
            <w:r>
              <w:rPr>
                <w:rFonts w:ascii="Arial" w:hAnsi="Arial" w:cs="Arial" w:eastAsia="Arial"/>
                <w:b w:val="0"/>
                <w:color w:val="1F2937"/>
                <w:sz w:val="22"/>
              </w:rPr>
              <w:t>Project Setup and Infrastructure</w:t>
            </w:r>
          </w:p>
        </w:tc>
        <w:tc>
          <w:tcPr>
            <w:tcW w:type="dxa" w:w="1984"/>
            <w:vAlign w:val="center"/>
          </w:tcPr>
          <w:p>
            <w:pPr>
              <w:spacing w:after="40" w:before="40"/>
              <w:jc w:val="left"/>
            </w:pPr>
            <w:r/>
            <w:r>
              <w:rPr>
                <w:rFonts w:ascii="Arial" w:hAnsi="Arial" w:cs="Arial" w:eastAsia="Arial"/>
                <w:b w:val="0"/>
                <w:color w:val="1F2937"/>
                <w:sz w:val="22"/>
              </w:rPr>
              <w:t>07 Apr 2026 — 13 Apr 2026</w:t>
            </w:r>
          </w:p>
        </w:tc>
        <w:tc>
          <w:tcPr>
            <w:tcW w:type="dxa" w:w="3118"/>
            <w:vAlign w:val="center"/>
          </w:tcPr>
          <w:p>
            <w:pPr>
              <w:spacing w:after="40" w:before="40"/>
              <w:jc w:val="left"/>
            </w:pPr>
            <w:r/>
            <w:r>
              <w:rPr>
                <w:rFonts w:ascii="Arial" w:hAnsi="Arial" w:cs="Arial" w:eastAsia="Arial"/>
                <w:b w:val="0"/>
                <w:color w:val="1F2937"/>
                <w:sz w:val="22"/>
              </w:rPr>
              <w:t>Repository, Docker Compose, LLM provider abstraction</w:t>
            </w:r>
          </w:p>
        </w:tc>
        <w:tc>
          <w:tcPr>
            <w:tcW w:type="dxa" w:w="1587"/>
            <w:vAlign w:val="center"/>
          </w:tcPr>
          <w:p>
            <w:pPr>
              <w:spacing w:after="40" w:before="40"/>
              <w:jc w:val="left"/>
            </w:pPr>
            <w:r/>
            <w:r>
              <w:rPr>
                <w:rFonts w:ascii="Arial" w:hAnsi="Arial" w:cs="Arial" w:eastAsia="Arial"/>
                <w:b w:val="0"/>
                <w:color w:val="1F2937"/>
                <w:sz w:val="22"/>
              </w:rPr>
              <w:t>COMPLETED</w:t>
            </w:r>
          </w:p>
        </w:tc>
      </w:tr>
      <w:tr>
        <w:tc>
          <w:tcPr>
            <w:tcW w:type="dxa" w:w="454"/>
            <w:vAlign w:val="center"/>
            <w:shd w:val="clear" w:color="auto" w:fill="F8FAFC"/>
          </w:tcPr>
          <w:p>
            <w:pPr>
              <w:spacing w:after="40" w:before="40"/>
              <w:jc w:val="left"/>
            </w:pPr>
            <w:r/>
            <w:r>
              <w:rPr>
                <w:rFonts w:ascii="Arial" w:hAnsi="Arial" w:cs="Arial" w:eastAsia="Arial"/>
                <w:b w:val="0"/>
                <w:color w:val="1F2937"/>
                <w:sz w:val="22"/>
              </w:rPr>
              <w:t>2</w:t>
            </w:r>
          </w:p>
        </w:tc>
        <w:tc>
          <w:tcPr>
            <w:tcW w:type="dxa" w:w="2098"/>
            <w:vAlign w:val="center"/>
            <w:shd w:val="clear" w:color="auto" w:fill="F8FAFC"/>
          </w:tcPr>
          <w:p>
            <w:pPr>
              <w:spacing w:after="40" w:before="40"/>
              <w:jc w:val="left"/>
            </w:pPr>
            <w:r/>
            <w:r>
              <w:rPr>
                <w:rFonts w:ascii="Arial" w:hAnsi="Arial" w:cs="Arial" w:eastAsia="Arial"/>
                <w:b w:val="0"/>
                <w:color w:val="1F2937"/>
                <w:sz w:val="22"/>
              </w:rPr>
              <w:t>Database and Schema Intelligence</w:t>
            </w:r>
          </w:p>
        </w:tc>
        <w:tc>
          <w:tcPr>
            <w:tcW w:type="dxa" w:w="1984"/>
            <w:vAlign w:val="center"/>
            <w:shd w:val="clear" w:color="auto" w:fill="F8FAFC"/>
          </w:tcPr>
          <w:p>
            <w:pPr>
              <w:spacing w:after="40" w:before="40"/>
              <w:jc w:val="left"/>
            </w:pPr>
            <w:r/>
            <w:r>
              <w:rPr>
                <w:rFonts w:ascii="Arial" w:hAnsi="Arial" w:cs="Arial" w:eastAsia="Arial"/>
                <w:b w:val="0"/>
                <w:color w:val="1F2937"/>
                <w:sz w:val="22"/>
              </w:rPr>
              <w:t>14 Apr 2026 — 24 Apr 2026</w:t>
            </w:r>
          </w:p>
        </w:tc>
        <w:tc>
          <w:tcPr>
            <w:tcW w:type="dxa" w:w="3118"/>
            <w:vAlign w:val="center"/>
            <w:shd w:val="clear" w:color="auto" w:fill="F8FAFC"/>
          </w:tcPr>
          <w:p>
            <w:pPr>
              <w:spacing w:after="40" w:before="40"/>
              <w:jc w:val="left"/>
            </w:pPr>
            <w:r/>
            <w:r>
              <w:rPr>
                <w:rFonts w:ascii="Arial" w:hAnsi="Arial" w:cs="Arial" w:eastAsia="Arial"/>
                <w:b w:val="0"/>
                <w:color w:val="1F2937"/>
                <w:sz w:val="22"/>
              </w:rPr>
              <w:t>Odoo schema introspection, domain mapping, glossary, joins</w:t>
            </w:r>
          </w:p>
        </w:tc>
        <w:tc>
          <w:tcPr>
            <w:tcW w:type="dxa" w:w="1587"/>
            <w:vAlign w:val="center"/>
            <w:shd w:val="clear" w:color="auto" w:fill="F8FAFC"/>
          </w:tcPr>
          <w:p>
            <w:pPr>
              <w:spacing w:after="40" w:before="40"/>
              <w:jc w:val="left"/>
            </w:pPr>
            <w:r/>
            <w:r>
              <w:rPr>
                <w:rFonts w:ascii="Arial" w:hAnsi="Arial" w:cs="Arial" w:eastAsia="Arial"/>
                <w:b w:val="0"/>
                <w:color w:val="1F2937"/>
                <w:sz w:val="22"/>
              </w:rPr>
              <w:t>COMPLETED</w:t>
            </w:r>
          </w:p>
        </w:tc>
      </w:tr>
      <w:tr>
        <w:tc>
          <w:tcPr>
            <w:tcW w:type="dxa" w:w="454"/>
            <w:vAlign w:val="center"/>
          </w:tcPr>
          <w:p>
            <w:pPr>
              <w:spacing w:after="40" w:before="40"/>
              <w:jc w:val="left"/>
            </w:pPr>
            <w:r/>
            <w:r>
              <w:rPr>
                <w:rFonts w:ascii="Arial" w:hAnsi="Arial" w:cs="Arial" w:eastAsia="Arial"/>
                <w:b w:val="0"/>
                <w:color w:val="1F2937"/>
                <w:sz w:val="22"/>
              </w:rPr>
              <w:t>3</w:t>
            </w:r>
          </w:p>
        </w:tc>
        <w:tc>
          <w:tcPr>
            <w:tcW w:type="dxa" w:w="2098"/>
            <w:vAlign w:val="center"/>
          </w:tcPr>
          <w:p>
            <w:pPr>
              <w:spacing w:after="40" w:before="40"/>
              <w:jc w:val="left"/>
            </w:pPr>
            <w:r/>
            <w:r>
              <w:rPr>
                <w:rFonts w:ascii="Arial" w:hAnsi="Arial" w:cs="Arial" w:eastAsia="Arial"/>
                <w:b w:val="0"/>
                <w:color w:val="1F2937"/>
                <w:sz w:val="22"/>
              </w:rPr>
              <w:t>Core Multi-Agent Framework</w:t>
            </w:r>
          </w:p>
        </w:tc>
        <w:tc>
          <w:tcPr>
            <w:tcW w:type="dxa" w:w="1984"/>
            <w:vAlign w:val="center"/>
          </w:tcPr>
          <w:p>
            <w:pPr>
              <w:spacing w:after="40" w:before="40"/>
              <w:jc w:val="left"/>
            </w:pPr>
            <w:r/>
            <w:r>
              <w:rPr>
                <w:rFonts w:ascii="Arial" w:hAnsi="Arial" w:cs="Arial" w:eastAsia="Arial"/>
                <w:b w:val="0"/>
                <w:color w:val="1F2937"/>
                <w:sz w:val="22"/>
              </w:rPr>
              <w:t>25 Apr 2026 — 05 May 2026</w:t>
            </w:r>
          </w:p>
        </w:tc>
        <w:tc>
          <w:tcPr>
            <w:tcW w:type="dxa" w:w="3118"/>
            <w:vAlign w:val="center"/>
          </w:tcPr>
          <w:p>
            <w:pPr>
              <w:spacing w:after="40" w:before="40"/>
              <w:jc w:val="left"/>
            </w:pPr>
            <w:r/>
            <w:r>
              <w:rPr>
                <w:rFonts w:ascii="Arial" w:hAnsi="Arial" w:cs="Arial" w:eastAsia="Arial"/>
                <w:b w:val="0"/>
                <w:color w:val="1F2937"/>
                <w:sz w:val="22"/>
              </w:rPr>
              <w:t>BaseAgent, Router, LangGraph orchestrator, memory, protocol</w:t>
            </w:r>
          </w:p>
        </w:tc>
        <w:tc>
          <w:tcPr>
            <w:tcW w:type="dxa" w:w="1587"/>
            <w:vAlign w:val="center"/>
          </w:tcPr>
          <w:p>
            <w:pPr>
              <w:spacing w:after="40" w:before="40"/>
              <w:jc w:val="left"/>
            </w:pPr>
            <w:r/>
            <w:r>
              <w:rPr>
                <w:rFonts w:ascii="Arial" w:hAnsi="Arial" w:cs="Arial" w:eastAsia="Arial"/>
                <w:b w:val="0"/>
                <w:color w:val="1F2937"/>
                <w:sz w:val="22"/>
              </w:rPr>
              <w:t>COMPLETED</w:t>
            </w:r>
          </w:p>
        </w:tc>
      </w:tr>
      <w:tr>
        <w:tc>
          <w:tcPr>
            <w:tcW w:type="dxa" w:w="454"/>
            <w:vAlign w:val="center"/>
            <w:shd w:val="clear" w:color="auto" w:fill="F8FAFC"/>
          </w:tcPr>
          <w:p>
            <w:pPr>
              <w:spacing w:after="40" w:before="40"/>
              <w:jc w:val="left"/>
            </w:pPr>
            <w:r/>
            <w:r>
              <w:rPr>
                <w:rFonts w:ascii="Arial" w:hAnsi="Arial" w:cs="Arial" w:eastAsia="Arial"/>
                <w:b w:val="0"/>
                <w:color w:val="1F2937"/>
                <w:sz w:val="22"/>
              </w:rPr>
              <w:t>4</w:t>
            </w:r>
          </w:p>
        </w:tc>
        <w:tc>
          <w:tcPr>
            <w:tcW w:type="dxa" w:w="2098"/>
            <w:vAlign w:val="center"/>
            <w:shd w:val="clear" w:color="auto" w:fill="F8FAFC"/>
          </w:tcPr>
          <w:p>
            <w:pPr>
              <w:spacing w:after="40" w:before="40"/>
              <w:jc w:val="left"/>
            </w:pPr>
            <w:r/>
            <w:r>
              <w:rPr>
                <w:rFonts w:ascii="Arial" w:hAnsi="Arial" w:cs="Arial" w:eastAsia="Arial"/>
                <w:b w:val="0"/>
                <w:color w:val="1F2937"/>
                <w:sz w:val="22"/>
              </w:rPr>
              <w:t>Five Domain-Specialist Agents</w:t>
            </w:r>
          </w:p>
        </w:tc>
        <w:tc>
          <w:tcPr>
            <w:tcW w:type="dxa" w:w="1984"/>
            <w:vAlign w:val="center"/>
            <w:shd w:val="clear" w:color="auto" w:fill="F8FAFC"/>
          </w:tcPr>
          <w:p>
            <w:pPr>
              <w:spacing w:after="40" w:before="40"/>
              <w:jc w:val="left"/>
            </w:pPr>
            <w:r/>
            <w:r>
              <w:rPr>
                <w:rFonts w:ascii="Arial" w:hAnsi="Arial" w:cs="Arial" w:eastAsia="Arial"/>
                <w:b w:val="0"/>
                <w:color w:val="1F2937"/>
                <w:sz w:val="22"/>
              </w:rPr>
              <w:t>06 May 2026 — 19 May 2026</w:t>
            </w:r>
          </w:p>
        </w:tc>
        <w:tc>
          <w:tcPr>
            <w:tcW w:type="dxa" w:w="3118"/>
            <w:vAlign w:val="center"/>
            <w:shd w:val="clear" w:color="auto" w:fill="F8FAFC"/>
          </w:tcPr>
          <w:p>
            <w:pPr>
              <w:spacing w:after="40" w:before="40"/>
              <w:jc w:val="left"/>
            </w:pPr>
            <w:r/>
            <w:r>
              <w:rPr>
                <w:rFonts w:ascii="Arial" w:hAnsi="Arial" w:cs="Arial" w:eastAsia="Arial"/>
                <w:b w:val="0"/>
                <w:color w:val="1F2937"/>
                <w:sz w:val="22"/>
              </w:rPr>
              <w:t>LLM-driven specialists, Compliance v1, few-shot banks</w:t>
            </w:r>
          </w:p>
        </w:tc>
        <w:tc>
          <w:tcPr>
            <w:tcW w:type="dxa" w:w="1587"/>
            <w:vAlign w:val="center"/>
            <w:shd w:val="clear" w:color="auto" w:fill="F8FAFC"/>
          </w:tcPr>
          <w:p>
            <w:pPr>
              <w:spacing w:after="40" w:before="40"/>
              <w:jc w:val="left"/>
            </w:pPr>
            <w:r/>
            <w:r>
              <w:rPr>
                <w:rFonts w:ascii="Arial" w:hAnsi="Arial" w:cs="Arial" w:eastAsia="Arial"/>
                <w:b w:val="0"/>
                <w:color w:val="1F2937"/>
                <w:sz w:val="22"/>
              </w:rPr>
              <w:t>COMPLETED</w:t>
            </w:r>
          </w:p>
        </w:tc>
      </w:tr>
      <w:tr>
        <w:tc>
          <w:tcPr>
            <w:tcW w:type="dxa" w:w="454"/>
            <w:vAlign w:val="center"/>
          </w:tcPr>
          <w:p>
            <w:pPr>
              <w:spacing w:after="40" w:before="40"/>
              <w:jc w:val="left"/>
            </w:pPr>
            <w:r/>
            <w:r>
              <w:rPr>
                <w:rFonts w:ascii="Arial" w:hAnsi="Arial" w:cs="Arial" w:eastAsia="Arial"/>
                <w:b w:val="0"/>
                <w:color w:val="1F2937"/>
                <w:sz w:val="22"/>
              </w:rPr>
              <w:t>5</w:t>
            </w:r>
          </w:p>
        </w:tc>
        <w:tc>
          <w:tcPr>
            <w:tcW w:type="dxa" w:w="2098"/>
            <w:vAlign w:val="center"/>
          </w:tcPr>
          <w:p>
            <w:pPr>
              <w:spacing w:after="40" w:before="40"/>
              <w:jc w:val="left"/>
            </w:pPr>
            <w:r/>
            <w:r>
              <w:rPr>
                <w:rFonts w:ascii="Arial" w:hAnsi="Arial" w:cs="Arial" w:eastAsia="Arial"/>
                <w:b w:val="0"/>
                <w:color w:val="1F2937"/>
                <w:sz w:val="22"/>
              </w:rPr>
              <w:t>Composition, Federation, Self-Correction</w:t>
            </w:r>
          </w:p>
        </w:tc>
        <w:tc>
          <w:tcPr>
            <w:tcW w:type="dxa" w:w="1984"/>
            <w:vAlign w:val="center"/>
          </w:tcPr>
          <w:p>
            <w:pPr>
              <w:spacing w:after="40" w:before="40"/>
              <w:jc w:val="left"/>
            </w:pPr>
            <w:r/>
            <w:r>
              <w:rPr>
                <w:rFonts w:ascii="Arial" w:hAnsi="Arial" w:cs="Arial" w:eastAsia="Arial"/>
                <w:b w:val="0"/>
                <w:color w:val="1F2937"/>
                <w:sz w:val="22"/>
              </w:rPr>
              <w:t>20 May 2026 — 02 Jun 2026</w:t>
            </w:r>
          </w:p>
        </w:tc>
        <w:tc>
          <w:tcPr>
            <w:tcW w:type="dxa" w:w="3118"/>
            <w:vAlign w:val="center"/>
          </w:tcPr>
          <w:p>
            <w:pPr>
              <w:spacing w:after="40" w:before="40"/>
              <w:jc w:val="left"/>
            </w:pPr>
            <w:r/>
            <w:r>
              <w:rPr>
                <w:rFonts w:ascii="Arial" w:hAnsi="Arial" w:cs="Arial" w:eastAsia="Arial"/>
                <w:b w:val="0"/>
                <w:color w:val="1F2937"/>
                <w:sz w:val="22"/>
              </w:rPr>
              <w:t>sqlglot Composer, 3-stage validator, AST-based Compliance v2</w:t>
            </w:r>
          </w:p>
        </w:tc>
        <w:tc>
          <w:tcPr>
            <w:tcW w:type="dxa" w:w="1587"/>
            <w:vAlign w:val="center"/>
          </w:tcPr>
          <w:p>
            <w:pPr>
              <w:spacing w:after="40" w:before="40"/>
              <w:jc w:val="left"/>
            </w:pPr>
            <w:r/>
            <w:r>
              <w:rPr>
                <w:rFonts w:ascii="Arial" w:hAnsi="Arial" w:cs="Arial" w:eastAsia="Arial"/>
                <w:b w:val="0"/>
                <w:color w:val="1F2937"/>
                <w:sz w:val="22"/>
              </w:rPr>
              <w:t>COMPLETED (midterm checkpoint)</w:t>
            </w:r>
          </w:p>
        </w:tc>
      </w:tr>
      <w:tr>
        <w:tc>
          <w:tcPr>
            <w:tcW w:type="dxa" w:w="454"/>
            <w:vAlign w:val="center"/>
            <w:shd w:val="clear" w:color="auto" w:fill="F8FAFC"/>
          </w:tcPr>
          <w:p>
            <w:pPr>
              <w:spacing w:after="40" w:before="40"/>
              <w:jc w:val="left"/>
            </w:pPr>
            <w:r/>
            <w:r>
              <w:rPr>
                <w:rFonts w:ascii="Arial" w:hAnsi="Arial" w:cs="Arial" w:eastAsia="Arial"/>
                <w:b w:val="0"/>
                <w:color w:val="1F2937"/>
                <w:sz w:val="22"/>
              </w:rPr>
              <w:t>6</w:t>
            </w:r>
          </w:p>
        </w:tc>
        <w:tc>
          <w:tcPr>
            <w:tcW w:type="dxa" w:w="2098"/>
            <w:vAlign w:val="center"/>
            <w:shd w:val="clear" w:color="auto" w:fill="F8FAFC"/>
          </w:tcPr>
          <w:p>
            <w:pPr>
              <w:spacing w:after="40" w:before="40"/>
              <w:jc w:val="left"/>
            </w:pPr>
            <w:r/>
            <w:r>
              <w:rPr>
                <w:rFonts w:ascii="Arial" w:hAnsi="Arial" w:cs="Arial" w:eastAsia="Arial"/>
                <w:b w:val="0"/>
                <w:color w:val="1F2937"/>
                <w:sz w:val="22"/>
              </w:rPr>
              <w:t>Temporal Reasoning and Ambiguity</w:t>
            </w:r>
          </w:p>
        </w:tc>
        <w:tc>
          <w:tcPr>
            <w:tcW w:type="dxa" w:w="1984"/>
            <w:vAlign w:val="center"/>
            <w:shd w:val="clear" w:color="auto" w:fill="F8FAFC"/>
          </w:tcPr>
          <w:p>
            <w:pPr>
              <w:spacing w:after="40" w:before="40"/>
              <w:jc w:val="left"/>
            </w:pPr>
            <w:r/>
            <w:r>
              <w:rPr>
                <w:rFonts w:ascii="Arial" w:hAnsi="Arial" w:cs="Arial" w:eastAsia="Arial"/>
                <w:b w:val="0"/>
                <w:color w:val="1F2937"/>
                <w:sz w:val="22"/>
              </w:rPr>
              <w:t>03 Jun 2026 — 13 Jun 2026</w:t>
            </w:r>
          </w:p>
        </w:tc>
        <w:tc>
          <w:tcPr>
            <w:tcW w:type="dxa" w:w="3118"/>
            <w:vAlign w:val="center"/>
            <w:shd w:val="clear" w:color="auto" w:fill="F8FAFC"/>
          </w:tcPr>
          <w:p>
            <w:pPr>
              <w:spacing w:after="40" w:before="40"/>
              <w:jc w:val="left"/>
            </w:pPr>
            <w:r/>
            <w:r>
              <w:rPr>
                <w:rFonts w:ascii="Arial" w:hAnsi="Arial" w:cs="Arial" w:eastAsia="Arial"/>
                <w:b w:val="0"/>
                <w:color w:val="1F2937"/>
                <w:sz w:val="22"/>
              </w:rPr>
              <w:t>Deterministic temporal parser, ambiguity resolver, ROLLUP examples</w:t>
            </w:r>
          </w:p>
        </w:tc>
        <w:tc>
          <w:tcPr>
            <w:tcW w:type="dxa" w:w="1587"/>
            <w:vAlign w:val="center"/>
            <w:shd w:val="clear" w:color="auto" w:fill="F8FAFC"/>
          </w:tcPr>
          <w:p>
            <w:pPr>
              <w:spacing w:after="40" w:before="40"/>
              <w:jc w:val="left"/>
            </w:pPr>
            <w:r/>
            <w:r>
              <w:rPr>
                <w:rFonts w:ascii="Arial" w:hAnsi="Arial" w:cs="Arial" w:eastAsia="Arial"/>
                <w:b w:val="0"/>
                <w:color w:val="1F2937"/>
                <w:sz w:val="22"/>
              </w:rPr>
              <w:t>COMPLETED</w:t>
            </w:r>
          </w:p>
        </w:tc>
      </w:tr>
      <w:tr>
        <w:tc>
          <w:tcPr>
            <w:tcW w:type="dxa" w:w="454"/>
            <w:vAlign w:val="center"/>
          </w:tcPr>
          <w:p>
            <w:pPr>
              <w:spacing w:after="40" w:before="40"/>
              <w:jc w:val="left"/>
            </w:pPr>
            <w:r/>
            <w:r>
              <w:rPr>
                <w:rFonts w:ascii="Arial" w:hAnsi="Arial" w:cs="Arial" w:eastAsia="Arial"/>
                <w:b w:val="0"/>
                <w:color w:val="1F2937"/>
                <w:sz w:val="22"/>
              </w:rPr>
              <w:t>7</w:t>
            </w:r>
          </w:p>
        </w:tc>
        <w:tc>
          <w:tcPr>
            <w:tcW w:type="dxa" w:w="2098"/>
            <w:vAlign w:val="center"/>
          </w:tcPr>
          <w:p>
            <w:pPr>
              <w:spacing w:after="40" w:before="40"/>
              <w:jc w:val="left"/>
            </w:pPr>
            <w:r/>
            <w:r>
              <w:rPr>
                <w:rFonts w:ascii="Arial" w:hAnsi="Arial" w:cs="Arial" w:eastAsia="Arial"/>
                <w:b w:val="0"/>
                <w:color w:val="1F2937"/>
                <w:sz w:val="22"/>
              </w:rPr>
              <w:t>Multi-Turn Conversational Engine</w:t>
            </w:r>
          </w:p>
        </w:tc>
        <w:tc>
          <w:tcPr>
            <w:tcW w:type="dxa" w:w="1984"/>
            <w:vAlign w:val="center"/>
          </w:tcPr>
          <w:p>
            <w:pPr>
              <w:spacing w:after="40" w:before="40"/>
              <w:jc w:val="left"/>
            </w:pPr>
            <w:r/>
            <w:r>
              <w:rPr>
                <w:rFonts w:ascii="Arial" w:hAnsi="Arial" w:cs="Arial" w:eastAsia="Arial"/>
                <w:b w:val="0"/>
                <w:color w:val="1F2937"/>
                <w:sz w:val="22"/>
              </w:rPr>
              <w:t>14 Jun 2026 — 24 Jun 2026</w:t>
            </w:r>
          </w:p>
        </w:tc>
        <w:tc>
          <w:tcPr>
            <w:tcW w:type="dxa" w:w="3118"/>
            <w:vAlign w:val="center"/>
          </w:tcPr>
          <w:p>
            <w:pPr>
              <w:spacing w:after="40" w:before="40"/>
              <w:jc w:val="left"/>
            </w:pPr>
            <w:r/>
            <w:r>
              <w:rPr>
                <w:rFonts w:ascii="Arial" w:hAnsi="Arial" w:cs="Arial" w:eastAsia="Arial"/>
                <w:b w:val="0"/>
                <w:color w:val="1F2937"/>
                <w:sz w:val="22"/>
              </w:rPr>
              <w:t>Reference detector, conversation context, carry-over orchestration</w:t>
            </w:r>
          </w:p>
        </w:tc>
        <w:tc>
          <w:tcPr>
            <w:tcW w:type="dxa" w:w="1587"/>
            <w:vAlign w:val="center"/>
          </w:tcPr>
          <w:p>
            <w:pPr>
              <w:spacing w:after="40" w:before="40"/>
              <w:jc w:val="left"/>
            </w:pPr>
            <w:r/>
            <w:r>
              <w:rPr>
                <w:rFonts w:ascii="Arial" w:hAnsi="Arial" w:cs="Arial" w:eastAsia="Arial"/>
                <w:b w:val="0"/>
                <w:color w:val="1F2937"/>
                <w:sz w:val="22"/>
              </w:rPr>
              <w:t>COMPLETED</w:t>
            </w:r>
          </w:p>
        </w:tc>
      </w:tr>
      <w:tr>
        <w:tc>
          <w:tcPr>
            <w:tcW w:type="dxa" w:w="454"/>
            <w:vAlign w:val="center"/>
            <w:shd w:val="clear" w:color="auto" w:fill="F8FAFC"/>
          </w:tcPr>
          <w:p>
            <w:pPr>
              <w:spacing w:after="40" w:before="40"/>
              <w:jc w:val="left"/>
            </w:pPr>
            <w:r/>
            <w:r>
              <w:rPr>
                <w:rFonts w:ascii="Arial" w:hAnsi="Arial" w:cs="Arial" w:eastAsia="Arial"/>
                <w:b w:val="0"/>
                <w:color w:val="1F2937"/>
                <w:sz w:val="22"/>
              </w:rPr>
              <w:t>—</w:t>
            </w:r>
          </w:p>
        </w:tc>
        <w:tc>
          <w:tcPr>
            <w:tcW w:type="dxa" w:w="2098"/>
            <w:vAlign w:val="center"/>
            <w:shd w:val="clear" w:color="auto" w:fill="F8FAFC"/>
          </w:tcPr>
          <w:p>
            <w:pPr>
              <w:spacing w:after="40" w:before="40"/>
              <w:jc w:val="left"/>
            </w:pPr>
            <w:r/>
            <w:r>
              <w:rPr>
                <w:rFonts w:ascii="Arial" w:hAnsi="Arial" w:cs="Arial" w:eastAsia="Arial"/>
                <w:b w:val="0"/>
                <w:color w:val="1F2937"/>
                <w:sz w:val="22"/>
              </w:rPr>
              <w:t>Post-feedback evaluation pass (added)</w:t>
            </w:r>
          </w:p>
        </w:tc>
        <w:tc>
          <w:tcPr>
            <w:tcW w:type="dxa" w:w="1984"/>
            <w:vAlign w:val="center"/>
            <w:shd w:val="clear" w:color="auto" w:fill="F8FAFC"/>
          </w:tcPr>
          <w:p>
            <w:pPr>
              <w:spacing w:after="40" w:before="40"/>
              <w:jc w:val="left"/>
            </w:pPr>
            <w:r/>
            <w:r>
              <w:rPr>
                <w:rFonts w:ascii="Arial" w:hAnsi="Arial" w:cs="Arial" w:eastAsia="Arial"/>
                <w:b w:val="0"/>
                <w:color w:val="1F2937"/>
                <w:sz w:val="22"/>
              </w:rPr>
              <w:t>26 May 2026 — 11 Jun 2026</w:t>
            </w:r>
          </w:p>
        </w:tc>
        <w:tc>
          <w:tcPr>
            <w:tcW w:type="dxa" w:w="3118"/>
            <w:vAlign w:val="center"/>
            <w:shd w:val="clear" w:color="auto" w:fill="F8FAFC"/>
          </w:tcPr>
          <w:p>
            <w:pPr>
              <w:spacing w:after="40" w:before="40"/>
              <w:jc w:val="left"/>
            </w:pPr>
            <w:r/>
            <w:r>
              <w:rPr>
                <w:rFonts w:ascii="Arial" w:hAnsi="Arial" w:cs="Arial" w:eastAsia="Arial"/>
                <w:b w:val="0"/>
                <w:color w:val="1F2937"/>
                <w:sz w:val="22"/>
              </w:rPr>
              <w:t>Pilot expansion 50 → 100 queries · MAC-SQL head-to-head · Sonnet LLM ablation · Spider 1.0 + BIRD sanity checks · Full BIRD-dev head-to-head with real EX (Ours 68 % vs paper's MAC-SQL+GPT-4 = 59.39 %)</w:t>
            </w:r>
          </w:p>
        </w:tc>
        <w:tc>
          <w:tcPr>
            <w:tcW w:type="dxa" w:w="1587"/>
            <w:vAlign w:val="center"/>
            <w:shd w:val="clear" w:color="auto" w:fill="F8FAFC"/>
          </w:tcPr>
          <w:p>
            <w:pPr>
              <w:spacing w:after="40" w:before="40"/>
              <w:jc w:val="left"/>
            </w:pPr>
            <w:r/>
            <w:r>
              <w:rPr>
                <w:rFonts w:ascii="Arial" w:hAnsi="Arial" w:cs="Arial" w:eastAsia="Arial"/>
                <w:b w:val="0"/>
                <w:color w:val="1F2937"/>
                <w:sz w:val="22"/>
              </w:rPr>
              <w:t>COMPLETED</w:t>
            </w:r>
          </w:p>
        </w:tc>
      </w:tr>
      <w:tr>
        <w:tc>
          <w:tcPr>
            <w:tcW w:type="dxa" w:w="454"/>
            <w:vAlign w:val="center"/>
          </w:tcPr>
          <w:p>
            <w:pPr>
              <w:spacing w:after="40" w:before="40"/>
              <w:jc w:val="left"/>
            </w:pPr>
            <w:r/>
            <w:r>
              <w:rPr>
                <w:rFonts w:ascii="Arial" w:hAnsi="Arial" w:cs="Arial" w:eastAsia="Arial"/>
                <w:b w:val="0"/>
                <w:color w:val="1F2937"/>
                <w:sz w:val="22"/>
              </w:rPr>
              <w:t>8</w:t>
            </w:r>
          </w:p>
        </w:tc>
        <w:tc>
          <w:tcPr>
            <w:tcW w:type="dxa" w:w="2098"/>
            <w:vAlign w:val="center"/>
          </w:tcPr>
          <w:p>
            <w:pPr>
              <w:spacing w:after="40" w:before="40"/>
              <w:jc w:val="left"/>
            </w:pPr>
            <w:r/>
            <w:r>
              <w:rPr>
                <w:rFonts w:ascii="Arial" w:hAnsi="Arial" w:cs="Arial" w:eastAsia="Arial"/>
                <w:b w:val="0"/>
                <w:color w:val="1F2937"/>
                <w:sz w:val="22"/>
              </w:rPr>
              <w:t>SCM-SQL Benchmark Creation (full 500-query scale)</w:t>
            </w:r>
          </w:p>
        </w:tc>
        <w:tc>
          <w:tcPr>
            <w:tcW w:type="dxa" w:w="1984"/>
            <w:vAlign w:val="center"/>
          </w:tcPr>
          <w:p>
            <w:pPr>
              <w:spacing w:after="40" w:before="40"/>
              <w:jc w:val="left"/>
            </w:pPr>
            <w:r/>
            <w:r>
              <w:rPr>
                <w:rFonts w:ascii="Arial" w:hAnsi="Arial" w:cs="Arial" w:eastAsia="Arial"/>
                <w:b w:val="0"/>
                <w:color w:val="1F2937"/>
                <w:sz w:val="22"/>
              </w:rPr>
              <w:t>15 Jun 2026 — 05 Jul 2026</w:t>
            </w:r>
          </w:p>
        </w:tc>
        <w:tc>
          <w:tcPr>
            <w:tcW w:type="dxa" w:w="3118"/>
            <w:vAlign w:val="center"/>
          </w:tcPr>
          <w:p>
            <w:pPr>
              <w:spacing w:after="40" w:before="40"/>
              <w:jc w:val="left"/>
            </w:pPr>
            <w:r/>
            <w:r>
              <w:rPr>
                <w:rFonts w:ascii="Arial" w:hAnsi="Arial" w:cs="Arial" w:eastAsia="Arial"/>
                <w:b w:val="0"/>
                <w:color w:val="1F2937"/>
                <w:sz w:val="22"/>
              </w:rPr>
              <w:t>Author +400 NL/SQL pairs to reach 500; full 5-baseline grid (Ours, MAC-SQL, MARS-SQL, CHASE-SQL, ZS-Haiku); n ≈ 500 closes the statistical-power gap for Bonferroni-corrected p ≤ 0.05</w:t>
            </w:r>
          </w:p>
        </w:tc>
        <w:tc>
          <w:tcPr>
            <w:tcW w:type="dxa" w:w="1587"/>
            <w:vAlign w:val="center"/>
          </w:tcPr>
          <w:p>
            <w:pPr>
              <w:spacing w:after="40" w:before="40"/>
              <w:jc w:val="left"/>
            </w:pPr>
            <w:r/>
            <w:r>
              <w:rPr>
                <w:rFonts w:ascii="Arial" w:hAnsi="Arial" w:cs="Arial" w:eastAsia="Arial"/>
                <w:b w:val="0"/>
                <w:color w:val="1F2937"/>
                <w:sz w:val="22"/>
              </w:rPr>
              <w:t>PENDING (pilot foundation already in place)</w:t>
            </w:r>
          </w:p>
        </w:tc>
      </w:tr>
      <w:tr>
        <w:tc>
          <w:tcPr>
            <w:tcW w:type="dxa" w:w="454"/>
            <w:vAlign w:val="center"/>
            <w:shd w:val="clear" w:color="auto" w:fill="F8FAFC"/>
          </w:tcPr>
          <w:p>
            <w:pPr>
              <w:spacing w:after="40" w:before="40"/>
              <w:jc w:val="left"/>
            </w:pPr>
            <w:r/>
            <w:r>
              <w:rPr>
                <w:rFonts w:ascii="Arial" w:hAnsi="Arial" w:cs="Arial" w:eastAsia="Arial"/>
                <w:b w:val="0"/>
                <w:color w:val="1F2937"/>
                <w:sz w:val="22"/>
              </w:rPr>
              <w:t>9</w:t>
            </w:r>
          </w:p>
        </w:tc>
        <w:tc>
          <w:tcPr>
            <w:tcW w:type="dxa" w:w="2098"/>
            <w:vAlign w:val="center"/>
            <w:shd w:val="clear" w:color="auto" w:fill="F8FAFC"/>
          </w:tcPr>
          <w:p>
            <w:pPr>
              <w:spacing w:after="40" w:before="40"/>
              <w:jc w:val="left"/>
            </w:pPr>
            <w:r/>
            <w:r>
              <w:rPr>
                <w:rFonts w:ascii="Arial" w:hAnsi="Arial" w:cs="Arial" w:eastAsia="Arial"/>
                <w:b w:val="0"/>
                <w:color w:val="1F2937"/>
                <w:sz w:val="22"/>
              </w:rPr>
              <w:t>Next.js Frontend — production polish</w:t>
            </w:r>
          </w:p>
        </w:tc>
        <w:tc>
          <w:tcPr>
            <w:tcW w:type="dxa" w:w="1984"/>
            <w:vAlign w:val="center"/>
            <w:shd w:val="clear" w:color="auto" w:fill="F8FAFC"/>
          </w:tcPr>
          <w:p>
            <w:pPr>
              <w:spacing w:after="40" w:before="40"/>
              <w:jc w:val="left"/>
            </w:pPr>
            <w:r/>
            <w:r>
              <w:rPr>
                <w:rFonts w:ascii="Arial" w:hAnsi="Arial" w:cs="Arial" w:eastAsia="Arial"/>
                <w:b w:val="0"/>
                <w:color w:val="1F2937"/>
                <w:sz w:val="22"/>
              </w:rPr>
              <w:t>06 Jul 2026 — 16 Jul 2026</w:t>
            </w:r>
          </w:p>
        </w:tc>
        <w:tc>
          <w:tcPr>
            <w:tcW w:type="dxa" w:w="3118"/>
            <w:vAlign w:val="center"/>
            <w:shd w:val="clear" w:color="auto" w:fill="F8FAFC"/>
          </w:tcPr>
          <w:p>
            <w:pPr>
              <w:spacing w:after="40" w:before="40"/>
              <w:jc w:val="left"/>
            </w:pPr>
            <w:r/>
            <w:r>
              <w:rPr>
                <w:rFonts w:ascii="Arial" w:hAnsi="Arial" w:cs="Arial" w:eastAsia="Arial"/>
                <w:b w:val="0"/>
                <w:color w:val="1F2937"/>
                <w:sz w:val="22"/>
              </w:rPr>
              <w:t>MVP SHIPPED 11 Jun 2026 (chat + multi-turn sidebar + clarification-card UI). Remaining: agent-activity timeline, data-lineage panel, streaming responses, charts, CSV export.</w:t>
            </w:r>
          </w:p>
        </w:tc>
        <w:tc>
          <w:tcPr>
            <w:tcW w:type="dxa" w:w="1587"/>
            <w:vAlign w:val="center"/>
            <w:shd w:val="clear" w:color="auto" w:fill="F8FAFC"/>
          </w:tcPr>
          <w:p>
            <w:pPr>
              <w:spacing w:after="40" w:before="40"/>
              <w:jc w:val="left"/>
            </w:pPr>
            <w:r/>
            <w:r>
              <w:rPr>
                <w:rFonts w:ascii="Arial" w:hAnsi="Arial" w:cs="Arial" w:eastAsia="Arial"/>
                <w:b w:val="0"/>
                <w:color w:val="1F2937"/>
                <w:sz w:val="22"/>
              </w:rPr>
              <w:t>PARTIAL — MVP done; polish pending</w:t>
            </w:r>
          </w:p>
        </w:tc>
      </w:tr>
      <w:tr>
        <w:tc>
          <w:tcPr>
            <w:tcW w:type="dxa" w:w="454"/>
            <w:vAlign w:val="center"/>
          </w:tcPr>
          <w:p>
            <w:pPr>
              <w:spacing w:after="40" w:before="40"/>
              <w:jc w:val="left"/>
            </w:pPr>
            <w:r/>
            <w:r>
              <w:rPr>
                <w:rFonts w:ascii="Arial" w:hAnsi="Arial" w:cs="Arial" w:eastAsia="Arial"/>
                <w:b w:val="0"/>
                <w:color w:val="1F2937"/>
                <w:sz w:val="22"/>
              </w:rPr>
              <w:t>10</w:t>
            </w:r>
          </w:p>
        </w:tc>
        <w:tc>
          <w:tcPr>
            <w:tcW w:type="dxa" w:w="2098"/>
            <w:vAlign w:val="center"/>
          </w:tcPr>
          <w:p>
            <w:pPr>
              <w:spacing w:after="40" w:before="40"/>
              <w:jc w:val="left"/>
            </w:pPr>
            <w:r/>
            <w:r>
              <w:rPr>
                <w:rFonts w:ascii="Arial" w:hAnsi="Arial" w:cs="Arial" w:eastAsia="Arial"/>
                <w:b w:val="0"/>
                <w:color w:val="1F2937"/>
                <w:sz w:val="22"/>
              </w:rPr>
              <w:t>Evaluation, Paper, Dissertation</w:t>
            </w:r>
          </w:p>
        </w:tc>
        <w:tc>
          <w:tcPr>
            <w:tcW w:type="dxa" w:w="1984"/>
            <w:vAlign w:val="center"/>
          </w:tcPr>
          <w:p>
            <w:pPr>
              <w:spacing w:after="40" w:before="40"/>
              <w:jc w:val="left"/>
            </w:pPr>
            <w:r/>
            <w:r>
              <w:rPr>
                <w:rFonts w:ascii="Arial" w:hAnsi="Arial" w:cs="Arial" w:eastAsia="Arial"/>
                <w:b w:val="0"/>
                <w:color w:val="1F2937"/>
                <w:sz w:val="22"/>
              </w:rPr>
              <w:t>17 Jul 2026 — 01 Aug 2026</w:t>
            </w:r>
          </w:p>
        </w:tc>
        <w:tc>
          <w:tcPr>
            <w:tcW w:type="dxa" w:w="3118"/>
            <w:vAlign w:val="center"/>
          </w:tcPr>
          <w:p>
            <w:pPr>
              <w:spacing w:after="40" w:before="40"/>
              <w:jc w:val="left"/>
            </w:pPr>
            <w:r/>
            <w:r>
              <w:rPr>
                <w:rFonts w:ascii="Arial" w:hAnsi="Arial" w:cs="Arial" w:eastAsia="Arial"/>
                <w:b w:val="0"/>
                <w:color w:val="1F2937"/>
                <w:sz w:val="22"/>
              </w:rPr>
              <w:t>Full ablation grid (7 ablations × 5 baselines × 3 benchmarks), paper draft (8 sections), architecture diagrams, BITS-format dissertation, final demo prep</w:t>
            </w:r>
          </w:p>
        </w:tc>
        <w:tc>
          <w:tcPr>
            <w:tcW w:type="dxa" w:w="1587"/>
            <w:vAlign w:val="center"/>
          </w:tcPr>
          <w:p>
            <w:pPr>
              <w:spacing w:after="40" w:before="40"/>
              <w:jc w:val="left"/>
            </w:pPr>
            <w:r/>
            <w:r>
              <w:rPr>
                <w:rFonts w:ascii="Arial" w:hAnsi="Arial" w:cs="Arial" w:eastAsia="Arial"/>
                <w:b w:val="0"/>
                <w:color w:val="1F2937"/>
                <w:sz w:val="22"/>
              </w:rPr>
              <w:t>PENDING</w:t>
            </w:r>
          </w:p>
        </w:tc>
      </w:tr>
    </w:tbl>
    <w:p>
      <w:pPr>
        <w:spacing w:after="80" w:before="80" w:line="288" w:lineRule="auto"/>
        <w:jc w:val="center"/>
      </w:pPr>
      <w:r>
        <w:rPr>
          <w:rFonts w:ascii="Arial" w:hAnsi="Arial" w:cs="Arial" w:eastAsia="Arial"/>
          <w:b/>
          <w:color w:val="1F2937"/>
          <w:sz w:val="24"/>
        </w:rPr>
        <w:t>Table 2.  Future Plan — Phases and Status</w:t>
      </w:r>
    </w:p>
    <w:p>
      <w:r>
        <w:br w:type="page"/>
      </w:r>
    </w:p>
    <w:p>
      <w:pPr>
        <w:keepNext/>
        <w:spacing w:before="320" w:after="120"/>
      </w:pPr>
      <w:r>
        <w:rPr>
          <w:rFonts w:ascii="Arial" w:hAnsi="Arial" w:cs="Arial" w:eastAsia="Arial"/>
          <w:b/>
          <w:color w:val="1E3A8A"/>
          <w:sz w:val="28"/>
        </w:rPr>
        <w:t>6.  Abbreviations</w:t>
      </w:r>
    </w:p>
    <w:tbl>
      <w:tblPr>
        <w:tblStyle w:val="TableGrid"/>
        <w:tblW w:type="auto" w:w="0"/>
        <w:jc w:val="center"/>
        <w:tblLook w:firstColumn="1" w:firstRow="1" w:lastColumn="0" w:lastRow="0" w:noHBand="0" w:noVBand="1" w:val="04A0"/>
      </w:tblPr>
      <w:tblGrid>
        <w:gridCol w:w="4706"/>
        <w:gridCol w:w="4706"/>
      </w:tblGrid>
      <w:tr>
        <w:tc>
          <w:tcPr>
            <w:tcW w:type="dxa" w:w="2551"/>
            <w:vAlign w:val="center"/>
            <w:shd w:val="clear" w:color="auto" w:fill="1E3A8A"/>
          </w:tcPr>
          <w:p>
            <w:pPr>
              <w:spacing w:after="40" w:before="40"/>
              <w:jc w:val="left"/>
            </w:pPr>
            <w:r/>
            <w:r>
              <w:rPr>
                <w:rFonts w:ascii="Arial" w:hAnsi="Arial" w:cs="Arial" w:eastAsia="Arial"/>
                <w:b/>
                <w:color w:val="FFFFFF"/>
                <w:sz w:val="22"/>
              </w:rPr>
              <w:t>Abbreviation</w:t>
            </w:r>
          </w:p>
        </w:tc>
        <w:tc>
          <w:tcPr>
            <w:tcW w:type="dxa" w:w="6236"/>
            <w:vAlign w:val="center"/>
            <w:shd w:val="clear" w:color="auto" w:fill="1E3A8A"/>
          </w:tcPr>
          <w:p>
            <w:pPr>
              <w:spacing w:after="40" w:before="40"/>
              <w:jc w:val="left"/>
            </w:pPr>
            <w:r/>
            <w:r>
              <w:rPr>
                <w:rFonts w:ascii="Arial" w:hAnsi="Arial" w:cs="Arial" w:eastAsia="Arial"/>
                <w:b/>
                <w:color w:val="FFFFFF"/>
                <w:sz w:val="22"/>
              </w:rPr>
              <w:t>Expansion</w:t>
            </w:r>
          </w:p>
        </w:tc>
      </w:tr>
      <w:tr>
        <w:tc>
          <w:tcPr>
            <w:tcW w:type="dxa" w:w="2551"/>
            <w:vAlign w:val="center"/>
          </w:tcPr>
          <w:p>
            <w:pPr>
              <w:spacing w:after="40" w:before="40"/>
              <w:jc w:val="left"/>
            </w:pPr>
            <w:r/>
            <w:r>
              <w:rPr>
                <w:rFonts w:ascii="Arial" w:hAnsi="Arial" w:cs="Arial" w:eastAsia="Arial"/>
                <w:b w:val="0"/>
                <w:color w:val="1F2937"/>
                <w:sz w:val="22"/>
              </w:rPr>
              <w:t>API</w:t>
            </w:r>
          </w:p>
        </w:tc>
        <w:tc>
          <w:tcPr>
            <w:tcW w:type="dxa" w:w="6236"/>
            <w:vAlign w:val="center"/>
          </w:tcPr>
          <w:p>
            <w:pPr>
              <w:spacing w:after="40" w:before="40"/>
              <w:jc w:val="left"/>
            </w:pPr>
            <w:r/>
            <w:r>
              <w:rPr>
                <w:rFonts w:ascii="Arial" w:hAnsi="Arial" w:cs="Arial" w:eastAsia="Arial"/>
                <w:b w:val="0"/>
                <w:color w:val="1F2937"/>
                <w:sz w:val="22"/>
              </w:rPr>
              <w:t>Application Programming Interface</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AST</w:t>
            </w:r>
          </w:p>
        </w:tc>
        <w:tc>
          <w:tcPr>
            <w:tcW w:type="dxa" w:w="6236"/>
            <w:vAlign w:val="center"/>
            <w:shd w:val="clear" w:color="auto" w:fill="F8FAFC"/>
          </w:tcPr>
          <w:p>
            <w:pPr>
              <w:spacing w:after="40" w:before="40"/>
              <w:jc w:val="left"/>
            </w:pPr>
            <w:r/>
            <w:r>
              <w:rPr>
                <w:rFonts w:ascii="Arial" w:hAnsi="Arial" w:cs="Arial" w:eastAsia="Arial"/>
                <w:b w:val="0"/>
                <w:color w:val="1F2937"/>
                <w:sz w:val="22"/>
              </w:rPr>
              <w:t>Abstract Syntax Tree</w:t>
            </w:r>
          </w:p>
        </w:tc>
      </w:tr>
      <w:tr>
        <w:tc>
          <w:tcPr>
            <w:tcW w:type="dxa" w:w="2551"/>
            <w:vAlign w:val="center"/>
          </w:tcPr>
          <w:p>
            <w:pPr>
              <w:spacing w:after="40" w:before="40"/>
              <w:jc w:val="left"/>
            </w:pPr>
            <w:r/>
            <w:r>
              <w:rPr>
                <w:rFonts w:ascii="Arial" w:hAnsi="Arial" w:cs="Arial" w:eastAsia="Arial"/>
                <w:b w:val="0"/>
                <w:color w:val="1F2937"/>
                <w:sz w:val="22"/>
              </w:rPr>
              <w:t>BIRD</w:t>
            </w:r>
          </w:p>
        </w:tc>
        <w:tc>
          <w:tcPr>
            <w:tcW w:type="dxa" w:w="6236"/>
            <w:vAlign w:val="center"/>
          </w:tcPr>
          <w:p>
            <w:pPr>
              <w:spacing w:after="40" w:before="40"/>
              <w:jc w:val="left"/>
            </w:pPr>
            <w:r/>
            <w:r>
              <w:rPr>
                <w:rFonts w:ascii="Arial" w:hAnsi="Arial" w:cs="Arial" w:eastAsia="Arial"/>
                <w:b w:val="0"/>
                <w:color w:val="1F2937"/>
                <w:sz w:val="22"/>
              </w:rPr>
              <w:t>Big Bench for Database Grounded Text-to-SQL</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CIDR</w:t>
            </w:r>
          </w:p>
        </w:tc>
        <w:tc>
          <w:tcPr>
            <w:tcW w:type="dxa" w:w="6236"/>
            <w:vAlign w:val="center"/>
            <w:shd w:val="clear" w:color="auto" w:fill="F8FAFC"/>
          </w:tcPr>
          <w:p>
            <w:pPr>
              <w:spacing w:after="40" w:before="40"/>
              <w:jc w:val="left"/>
            </w:pPr>
            <w:r/>
            <w:r>
              <w:rPr>
                <w:rFonts w:ascii="Arial" w:hAnsi="Arial" w:cs="Arial" w:eastAsia="Arial"/>
                <w:b w:val="0"/>
                <w:color w:val="1F2937"/>
                <w:sz w:val="22"/>
              </w:rPr>
              <w:t>Conference on Innovative Data Systems Research</w:t>
            </w:r>
          </w:p>
        </w:tc>
      </w:tr>
      <w:tr>
        <w:tc>
          <w:tcPr>
            <w:tcW w:type="dxa" w:w="2551"/>
            <w:vAlign w:val="center"/>
          </w:tcPr>
          <w:p>
            <w:pPr>
              <w:spacing w:after="40" w:before="40"/>
              <w:jc w:val="left"/>
            </w:pPr>
            <w:r/>
            <w:r>
              <w:rPr>
                <w:rFonts w:ascii="Arial" w:hAnsi="Arial" w:cs="Arial" w:eastAsia="Arial"/>
                <w:b w:val="0"/>
                <w:color w:val="1F2937"/>
                <w:sz w:val="22"/>
              </w:rPr>
              <w:t>CTE</w:t>
            </w:r>
          </w:p>
        </w:tc>
        <w:tc>
          <w:tcPr>
            <w:tcW w:type="dxa" w:w="6236"/>
            <w:vAlign w:val="center"/>
          </w:tcPr>
          <w:p>
            <w:pPr>
              <w:spacing w:after="40" w:before="40"/>
              <w:jc w:val="left"/>
            </w:pPr>
            <w:r/>
            <w:r>
              <w:rPr>
                <w:rFonts w:ascii="Arial" w:hAnsi="Arial" w:cs="Arial" w:eastAsia="Arial"/>
                <w:b w:val="0"/>
                <w:color w:val="1F2937"/>
                <w:sz w:val="22"/>
              </w:rPr>
              <w:t>Common Table Expression</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CRM</w:t>
            </w:r>
          </w:p>
        </w:tc>
        <w:tc>
          <w:tcPr>
            <w:tcW w:type="dxa" w:w="6236"/>
            <w:vAlign w:val="center"/>
            <w:shd w:val="clear" w:color="auto" w:fill="F8FAFC"/>
          </w:tcPr>
          <w:p>
            <w:pPr>
              <w:spacing w:after="40" w:before="40"/>
              <w:jc w:val="left"/>
            </w:pPr>
            <w:r/>
            <w:r>
              <w:rPr>
                <w:rFonts w:ascii="Arial" w:hAnsi="Arial" w:cs="Arial" w:eastAsia="Arial"/>
                <w:b w:val="0"/>
                <w:color w:val="1F2937"/>
                <w:sz w:val="22"/>
              </w:rPr>
              <w:t>Customer Relationship Management</w:t>
            </w:r>
          </w:p>
        </w:tc>
      </w:tr>
      <w:tr>
        <w:tc>
          <w:tcPr>
            <w:tcW w:type="dxa" w:w="2551"/>
            <w:vAlign w:val="center"/>
          </w:tcPr>
          <w:p>
            <w:pPr>
              <w:spacing w:after="40" w:before="40"/>
              <w:jc w:val="left"/>
            </w:pPr>
            <w:r/>
            <w:r>
              <w:rPr>
                <w:rFonts w:ascii="Arial" w:hAnsi="Arial" w:cs="Arial" w:eastAsia="Arial"/>
                <w:b w:val="0"/>
                <w:color w:val="1F2937"/>
                <w:sz w:val="22"/>
              </w:rPr>
              <w:t>DDL</w:t>
            </w:r>
          </w:p>
        </w:tc>
        <w:tc>
          <w:tcPr>
            <w:tcW w:type="dxa" w:w="6236"/>
            <w:vAlign w:val="center"/>
          </w:tcPr>
          <w:p>
            <w:pPr>
              <w:spacing w:after="40" w:before="40"/>
              <w:jc w:val="left"/>
            </w:pPr>
            <w:r/>
            <w:r>
              <w:rPr>
                <w:rFonts w:ascii="Arial" w:hAnsi="Arial" w:cs="Arial" w:eastAsia="Arial"/>
                <w:b w:val="0"/>
                <w:color w:val="1F2937"/>
                <w:sz w:val="22"/>
              </w:rPr>
              <w:t>Data Definition Language</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DML</w:t>
            </w:r>
          </w:p>
        </w:tc>
        <w:tc>
          <w:tcPr>
            <w:tcW w:type="dxa" w:w="6236"/>
            <w:vAlign w:val="center"/>
            <w:shd w:val="clear" w:color="auto" w:fill="F8FAFC"/>
          </w:tcPr>
          <w:p>
            <w:pPr>
              <w:spacing w:after="40" w:before="40"/>
              <w:jc w:val="left"/>
            </w:pPr>
            <w:r/>
            <w:r>
              <w:rPr>
                <w:rFonts w:ascii="Arial" w:hAnsi="Arial" w:cs="Arial" w:eastAsia="Arial"/>
                <w:b w:val="0"/>
                <w:color w:val="1F2937"/>
                <w:sz w:val="22"/>
              </w:rPr>
              <w:t>Data Manipulation Language</w:t>
            </w:r>
          </w:p>
        </w:tc>
      </w:tr>
      <w:tr>
        <w:tc>
          <w:tcPr>
            <w:tcW w:type="dxa" w:w="2551"/>
            <w:vAlign w:val="center"/>
          </w:tcPr>
          <w:p>
            <w:pPr>
              <w:spacing w:after="40" w:before="40"/>
              <w:jc w:val="left"/>
            </w:pPr>
            <w:r/>
            <w:r>
              <w:rPr>
                <w:rFonts w:ascii="Arial" w:hAnsi="Arial" w:cs="Arial" w:eastAsia="Arial"/>
                <w:b w:val="0"/>
                <w:color w:val="1F2937"/>
                <w:sz w:val="22"/>
              </w:rPr>
              <w:t>ERP</w:t>
            </w:r>
          </w:p>
        </w:tc>
        <w:tc>
          <w:tcPr>
            <w:tcW w:type="dxa" w:w="6236"/>
            <w:vAlign w:val="center"/>
          </w:tcPr>
          <w:p>
            <w:pPr>
              <w:spacing w:after="40" w:before="40"/>
              <w:jc w:val="left"/>
            </w:pPr>
            <w:r/>
            <w:r>
              <w:rPr>
                <w:rFonts w:ascii="Arial" w:hAnsi="Arial" w:cs="Arial" w:eastAsia="Arial"/>
                <w:b w:val="0"/>
                <w:color w:val="1F2937"/>
                <w:sz w:val="22"/>
              </w:rPr>
              <w:t>Enterprise Resource Planning</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EX</w:t>
            </w:r>
          </w:p>
        </w:tc>
        <w:tc>
          <w:tcPr>
            <w:tcW w:type="dxa" w:w="6236"/>
            <w:vAlign w:val="center"/>
            <w:shd w:val="clear" w:color="auto" w:fill="F8FAFC"/>
          </w:tcPr>
          <w:p>
            <w:pPr>
              <w:spacing w:after="40" w:before="40"/>
              <w:jc w:val="left"/>
            </w:pPr>
            <w:r/>
            <w:r>
              <w:rPr>
                <w:rFonts w:ascii="Arial" w:hAnsi="Arial" w:cs="Arial" w:eastAsia="Arial"/>
                <w:b w:val="0"/>
                <w:color w:val="1F2937"/>
                <w:sz w:val="22"/>
              </w:rPr>
              <w:t>Execution Accuracy</w:t>
            </w:r>
          </w:p>
        </w:tc>
      </w:tr>
      <w:tr>
        <w:tc>
          <w:tcPr>
            <w:tcW w:type="dxa" w:w="2551"/>
            <w:vAlign w:val="center"/>
          </w:tcPr>
          <w:p>
            <w:pPr>
              <w:spacing w:after="40" w:before="40"/>
              <w:jc w:val="left"/>
            </w:pPr>
            <w:r/>
            <w:r>
              <w:rPr>
                <w:rFonts w:ascii="Arial" w:hAnsi="Arial" w:cs="Arial" w:eastAsia="Arial"/>
                <w:b w:val="0"/>
                <w:color w:val="1F2937"/>
                <w:sz w:val="22"/>
              </w:rPr>
              <w:t>FK</w:t>
            </w:r>
          </w:p>
        </w:tc>
        <w:tc>
          <w:tcPr>
            <w:tcW w:type="dxa" w:w="6236"/>
            <w:vAlign w:val="center"/>
          </w:tcPr>
          <w:p>
            <w:pPr>
              <w:spacing w:after="40" w:before="40"/>
              <w:jc w:val="left"/>
            </w:pPr>
            <w:r/>
            <w:r>
              <w:rPr>
                <w:rFonts w:ascii="Arial" w:hAnsi="Arial" w:cs="Arial" w:eastAsia="Arial"/>
                <w:b w:val="0"/>
                <w:color w:val="1F2937"/>
                <w:sz w:val="22"/>
              </w:rPr>
              <w:t>Foreign Key</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LLM</w:t>
            </w:r>
          </w:p>
        </w:tc>
        <w:tc>
          <w:tcPr>
            <w:tcW w:type="dxa" w:w="6236"/>
            <w:vAlign w:val="center"/>
            <w:shd w:val="clear" w:color="auto" w:fill="F8FAFC"/>
          </w:tcPr>
          <w:p>
            <w:pPr>
              <w:spacing w:after="40" w:before="40"/>
              <w:jc w:val="left"/>
            </w:pPr>
            <w:r/>
            <w:r>
              <w:rPr>
                <w:rFonts w:ascii="Arial" w:hAnsi="Arial" w:cs="Arial" w:eastAsia="Arial"/>
                <w:b w:val="0"/>
                <w:color w:val="1F2937"/>
                <w:sz w:val="22"/>
              </w:rPr>
              <w:t>Large Language Model</w:t>
            </w:r>
          </w:p>
        </w:tc>
      </w:tr>
      <w:tr>
        <w:tc>
          <w:tcPr>
            <w:tcW w:type="dxa" w:w="2551"/>
            <w:vAlign w:val="center"/>
          </w:tcPr>
          <w:p>
            <w:pPr>
              <w:spacing w:after="40" w:before="40"/>
              <w:jc w:val="left"/>
            </w:pPr>
            <w:r/>
            <w:r>
              <w:rPr>
                <w:rFonts w:ascii="Arial" w:hAnsi="Arial" w:cs="Arial" w:eastAsia="Arial"/>
                <w:b w:val="0"/>
                <w:color w:val="1F2937"/>
                <w:sz w:val="22"/>
              </w:rPr>
              <w:t>MTD</w:t>
            </w:r>
          </w:p>
        </w:tc>
        <w:tc>
          <w:tcPr>
            <w:tcW w:type="dxa" w:w="6236"/>
            <w:vAlign w:val="center"/>
          </w:tcPr>
          <w:p>
            <w:pPr>
              <w:spacing w:after="40" w:before="40"/>
              <w:jc w:val="left"/>
            </w:pPr>
            <w:r/>
            <w:r>
              <w:rPr>
                <w:rFonts w:ascii="Arial" w:hAnsi="Arial" w:cs="Arial" w:eastAsia="Arial"/>
                <w:b w:val="0"/>
                <w:color w:val="1F2937"/>
                <w:sz w:val="22"/>
              </w:rPr>
              <w:t>Month-to-Date</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MRP</w:t>
            </w:r>
          </w:p>
        </w:tc>
        <w:tc>
          <w:tcPr>
            <w:tcW w:type="dxa" w:w="6236"/>
            <w:vAlign w:val="center"/>
            <w:shd w:val="clear" w:color="auto" w:fill="F8FAFC"/>
          </w:tcPr>
          <w:p>
            <w:pPr>
              <w:spacing w:after="40" w:before="40"/>
              <w:jc w:val="left"/>
            </w:pPr>
            <w:r/>
            <w:r>
              <w:rPr>
                <w:rFonts w:ascii="Arial" w:hAnsi="Arial" w:cs="Arial" w:eastAsia="Arial"/>
                <w:b w:val="0"/>
                <w:color w:val="1F2937"/>
                <w:sz w:val="22"/>
              </w:rPr>
              <w:t>Material Requirements Planning</w:t>
            </w:r>
          </w:p>
        </w:tc>
      </w:tr>
      <w:tr>
        <w:tc>
          <w:tcPr>
            <w:tcW w:type="dxa" w:w="2551"/>
            <w:vAlign w:val="center"/>
          </w:tcPr>
          <w:p>
            <w:pPr>
              <w:spacing w:after="40" w:before="40"/>
              <w:jc w:val="left"/>
            </w:pPr>
            <w:r/>
            <w:r>
              <w:rPr>
                <w:rFonts w:ascii="Arial" w:hAnsi="Arial" w:cs="Arial" w:eastAsia="Arial"/>
                <w:b w:val="0"/>
                <w:color w:val="1F2937"/>
                <w:sz w:val="22"/>
              </w:rPr>
              <w:t>NL</w:t>
            </w:r>
          </w:p>
        </w:tc>
        <w:tc>
          <w:tcPr>
            <w:tcW w:type="dxa" w:w="6236"/>
            <w:vAlign w:val="center"/>
          </w:tcPr>
          <w:p>
            <w:pPr>
              <w:spacing w:after="40" w:before="40"/>
              <w:jc w:val="left"/>
            </w:pPr>
            <w:r/>
            <w:r>
              <w:rPr>
                <w:rFonts w:ascii="Arial" w:hAnsi="Arial" w:cs="Arial" w:eastAsia="Arial"/>
                <w:b w:val="0"/>
                <w:color w:val="1F2937"/>
                <w:sz w:val="22"/>
              </w:rPr>
              <w:t>Natural Language</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NL-to-SQL / NL2SQL</w:t>
            </w:r>
          </w:p>
        </w:tc>
        <w:tc>
          <w:tcPr>
            <w:tcW w:type="dxa" w:w="6236"/>
            <w:vAlign w:val="center"/>
            <w:shd w:val="clear" w:color="auto" w:fill="F8FAFC"/>
          </w:tcPr>
          <w:p>
            <w:pPr>
              <w:spacing w:after="40" w:before="40"/>
              <w:jc w:val="left"/>
            </w:pPr>
            <w:r/>
            <w:r>
              <w:rPr>
                <w:rFonts w:ascii="Arial" w:hAnsi="Arial" w:cs="Arial" w:eastAsia="Arial"/>
                <w:b w:val="0"/>
                <w:color w:val="1F2937"/>
                <w:sz w:val="22"/>
              </w:rPr>
              <w:t>Natural Language to SQL</w:t>
            </w:r>
          </w:p>
        </w:tc>
      </w:tr>
      <w:tr>
        <w:tc>
          <w:tcPr>
            <w:tcW w:type="dxa" w:w="2551"/>
            <w:vAlign w:val="center"/>
          </w:tcPr>
          <w:p>
            <w:pPr>
              <w:spacing w:after="40" w:before="40"/>
              <w:jc w:val="left"/>
            </w:pPr>
            <w:r/>
            <w:r>
              <w:rPr>
                <w:rFonts w:ascii="Arial" w:hAnsi="Arial" w:cs="Arial" w:eastAsia="Arial"/>
                <w:b w:val="0"/>
                <w:color w:val="1F2937"/>
                <w:sz w:val="22"/>
              </w:rPr>
              <w:t>ORM</w:t>
            </w:r>
          </w:p>
        </w:tc>
        <w:tc>
          <w:tcPr>
            <w:tcW w:type="dxa" w:w="6236"/>
            <w:vAlign w:val="center"/>
          </w:tcPr>
          <w:p>
            <w:pPr>
              <w:spacing w:after="40" w:before="40"/>
              <w:jc w:val="left"/>
            </w:pPr>
            <w:r/>
            <w:r>
              <w:rPr>
                <w:rFonts w:ascii="Arial" w:hAnsi="Arial" w:cs="Arial" w:eastAsia="Arial"/>
                <w:b w:val="0"/>
                <w:color w:val="1F2937"/>
                <w:sz w:val="22"/>
              </w:rPr>
              <w:t>Object-Relational Mapping</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PG</w:t>
            </w:r>
          </w:p>
        </w:tc>
        <w:tc>
          <w:tcPr>
            <w:tcW w:type="dxa" w:w="6236"/>
            <w:vAlign w:val="center"/>
            <w:shd w:val="clear" w:color="auto" w:fill="F8FAFC"/>
          </w:tcPr>
          <w:p>
            <w:pPr>
              <w:spacing w:after="40" w:before="40"/>
              <w:jc w:val="left"/>
            </w:pPr>
            <w:r/>
            <w:r>
              <w:rPr>
                <w:rFonts w:ascii="Arial" w:hAnsi="Arial" w:cs="Arial" w:eastAsia="Arial"/>
                <w:b w:val="0"/>
                <w:color w:val="1F2937"/>
                <w:sz w:val="22"/>
              </w:rPr>
              <w:t>PostgreSQL</w:t>
            </w:r>
          </w:p>
        </w:tc>
      </w:tr>
      <w:tr>
        <w:tc>
          <w:tcPr>
            <w:tcW w:type="dxa" w:w="2551"/>
            <w:vAlign w:val="center"/>
          </w:tcPr>
          <w:p>
            <w:pPr>
              <w:spacing w:after="40" w:before="40"/>
              <w:jc w:val="left"/>
            </w:pPr>
            <w:r/>
            <w:r>
              <w:rPr>
                <w:rFonts w:ascii="Arial" w:hAnsi="Arial" w:cs="Arial" w:eastAsia="Arial"/>
                <w:b w:val="0"/>
                <w:color w:val="1F2937"/>
                <w:sz w:val="22"/>
              </w:rPr>
              <w:t>RAG</w:t>
            </w:r>
          </w:p>
        </w:tc>
        <w:tc>
          <w:tcPr>
            <w:tcW w:type="dxa" w:w="6236"/>
            <w:vAlign w:val="center"/>
          </w:tcPr>
          <w:p>
            <w:pPr>
              <w:spacing w:after="40" w:before="40"/>
              <w:jc w:val="left"/>
            </w:pPr>
            <w:r/>
            <w:r>
              <w:rPr>
                <w:rFonts w:ascii="Arial" w:hAnsi="Arial" w:cs="Arial" w:eastAsia="Arial"/>
                <w:b w:val="0"/>
                <w:color w:val="1F2937"/>
                <w:sz w:val="22"/>
              </w:rPr>
              <w:t>Retrieval-Augmented Generation</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RBAC</w:t>
            </w:r>
          </w:p>
        </w:tc>
        <w:tc>
          <w:tcPr>
            <w:tcW w:type="dxa" w:w="6236"/>
            <w:vAlign w:val="center"/>
            <w:shd w:val="clear" w:color="auto" w:fill="F8FAFC"/>
          </w:tcPr>
          <w:p>
            <w:pPr>
              <w:spacing w:after="40" w:before="40"/>
              <w:jc w:val="left"/>
            </w:pPr>
            <w:r/>
            <w:r>
              <w:rPr>
                <w:rFonts w:ascii="Arial" w:hAnsi="Arial" w:cs="Arial" w:eastAsia="Arial"/>
                <w:b w:val="0"/>
                <w:color w:val="1F2937"/>
                <w:sz w:val="22"/>
              </w:rPr>
              <w:t>Role-Based Access Control</w:t>
            </w:r>
          </w:p>
        </w:tc>
      </w:tr>
      <w:tr>
        <w:tc>
          <w:tcPr>
            <w:tcW w:type="dxa" w:w="2551"/>
            <w:vAlign w:val="center"/>
          </w:tcPr>
          <w:p>
            <w:pPr>
              <w:spacing w:after="40" w:before="40"/>
              <w:jc w:val="left"/>
            </w:pPr>
            <w:r/>
            <w:r>
              <w:rPr>
                <w:rFonts w:ascii="Arial" w:hAnsi="Arial" w:cs="Arial" w:eastAsia="Arial"/>
                <w:b w:val="0"/>
                <w:color w:val="1F2937"/>
                <w:sz w:val="22"/>
              </w:rPr>
              <w:t>RLS</w:t>
            </w:r>
          </w:p>
        </w:tc>
        <w:tc>
          <w:tcPr>
            <w:tcW w:type="dxa" w:w="6236"/>
            <w:vAlign w:val="center"/>
          </w:tcPr>
          <w:p>
            <w:pPr>
              <w:spacing w:after="40" w:before="40"/>
              <w:jc w:val="left"/>
            </w:pPr>
            <w:r/>
            <w:r>
              <w:rPr>
                <w:rFonts w:ascii="Arial" w:hAnsi="Arial" w:cs="Arial" w:eastAsia="Arial"/>
                <w:b w:val="0"/>
                <w:color w:val="1F2937"/>
                <w:sz w:val="22"/>
              </w:rPr>
              <w:t>Row-Level Security</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SCM</w:t>
            </w:r>
          </w:p>
        </w:tc>
        <w:tc>
          <w:tcPr>
            <w:tcW w:type="dxa" w:w="6236"/>
            <w:vAlign w:val="center"/>
            <w:shd w:val="clear" w:color="auto" w:fill="F8FAFC"/>
          </w:tcPr>
          <w:p>
            <w:pPr>
              <w:spacing w:after="40" w:before="40"/>
              <w:jc w:val="left"/>
            </w:pPr>
            <w:r/>
            <w:r>
              <w:rPr>
                <w:rFonts w:ascii="Arial" w:hAnsi="Arial" w:cs="Arial" w:eastAsia="Arial"/>
                <w:b w:val="0"/>
                <w:color w:val="1F2937"/>
                <w:sz w:val="22"/>
              </w:rPr>
              <w:t>Supply Chain Management</w:t>
            </w:r>
          </w:p>
        </w:tc>
      </w:tr>
      <w:tr>
        <w:tc>
          <w:tcPr>
            <w:tcW w:type="dxa" w:w="2551"/>
            <w:vAlign w:val="center"/>
          </w:tcPr>
          <w:p>
            <w:pPr>
              <w:spacing w:after="40" w:before="40"/>
              <w:jc w:val="left"/>
            </w:pPr>
            <w:r/>
            <w:r>
              <w:rPr>
                <w:rFonts w:ascii="Arial" w:hAnsi="Arial" w:cs="Arial" w:eastAsia="Arial"/>
                <w:b w:val="0"/>
                <w:color w:val="1F2937"/>
                <w:sz w:val="22"/>
              </w:rPr>
              <w:t>SDK</w:t>
            </w:r>
          </w:p>
        </w:tc>
        <w:tc>
          <w:tcPr>
            <w:tcW w:type="dxa" w:w="6236"/>
            <w:vAlign w:val="center"/>
          </w:tcPr>
          <w:p>
            <w:pPr>
              <w:spacing w:after="40" w:before="40"/>
              <w:jc w:val="left"/>
            </w:pPr>
            <w:r/>
            <w:r>
              <w:rPr>
                <w:rFonts w:ascii="Arial" w:hAnsi="Arial" w:cs="Arial" w:eastAsia="Arial"/>
                <w:b w:val="0"/>
                <w:color w:val="1F2937"/>
                <w:sz w:val="22"/>
              </w:rPr>
              <w:t>Software Development Kit</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SLM</w:t>
            </w:r>
          </w:p>
        </w:tc>
        <w:tc>
          <w:tcPr>
            <w:tcW w:type="dxa" w:w="6236"/>
            <w:vAlign w:val="center"/>
            <w:shd w:val="clear" w:color="auto" w:fill="F8FAFC"/>
          </w:tcPr>
          <w:p>
            <w:pPr>
              <w:spacing w:after="40" w:before="40"/>
              <w:jc w:val="left"/>
            </w:pPr>
            <w:r/>
            <w:r>
              <w:rPr>
                <w:rFonts w:ascii="Arial" w:hAnsi="Arial" w:cs="Arial" w:eastAsia="Arial"/>
                <w:b w:val="0"/>
                <w:color w:val="1F2937"/>
                <w:sz w:val="22"/>
              </w:rPr>
              <w:t>Small Language Model</w:t>
            </w:r>
          </w:p>
        </w:tc>
      </w:tr>
      <w:tr>
        <w:tc>
          <w:tcPr>
            <w:tcW w:type="dxa" w:w="2551"/>
            <w:vAlign w:val="center"/>
          </w:tcPr>
          <w:p>
            <w:pPr>
              <w:spacing w:after="40" w:before="40"/>
              <w:jc w:val="left"/>
            </w:pPr>
            <w:r/>
            <w:r>
              <w:rPr>
                <w:rFonts w:ascii="Arial" w:hAnsi="Arial" w:cs="Arial" w:eastAsia="Arial"/>
                <w:b w:val="0"/>
                <w:color w:val="1F2937"/>
                <w:sz w:val="22"/>
              </w:rPr>
              <w:t>SOTA</w:t>
            </w:r>
          </w:p>
        </w:tc>
        <w:tc>
          <w:tcPr>
            <w:tcW w:type="dxa" w:w="6236"/>
            <w:vAlign w:val="center"/>
          </w:tcPr>
          <w:p>
            <w:pPr>
              <w:spacing w:after="40" w:before="40"/>
              <w:jc w:val="left"/>
            </w:pPr>
            <w:r/>
            <w:r>
              <w:rPr>
                <w:rFonts w:ascii="Arial" w:hAnsi="Arial" w:cs="Arial" w:eastAsia="Arial"/>
                <w:b w:val="0"/>
                <w:color w:val="1F2937"/>
                <w:sz w:val="22"/>
              </w:rPr>
              <w:t>State-of-the-Art</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SQL</w:t>
            </w:r>
          </w:p>
        </w:tc>
        <w:tc>
          <w:tcPr>
            <w:tcW w:type="dxa" w:w="6236"/>
            <w:vAlign w:val="center"/>
            <w:shd w:val="clear" w:color="auto" w:fill="F8FAFC"/>
          </w:tcPr>
          <w:p>
            <w:pPr>
              <w:spacing w:after="40" w:before="40"/>
              <w:jc w:val="left"/>
            </w:pPr>
            <w:r/>
            <w:r>
              <w:rPr>
                <w:rFonts w:ascii="Arial" w:hAnsi="Arial" w:cs="Arial" w:eastAsia="Arial"/>
                <w:b w:val="0"/>
                <w:color w:val="1F2937"/>
                <w:sz w:val="22"/>
              </w:rPr>
              <w:t>Structured Query Language</w:t>
            </w:r>
          </w:p>
        </w:tc>
      </w:tr>
      <w:tr>
        <w:tc>
          <w:tcPr>
            <w:tcW w:type="dxa" w:w="2551"/>
            <w:vAlign w:val="center"/>
          </w:tcPr>
          <w:p>
            <w:pPr>
              <w:spacing w:after="40" w:before="40"/>
              <w:jc w:val="left"/>
            </w:pPr>
            <w:r/>
            <w:r>
              <w:rPr>
                <w:rFonts w:ascii="Arial" w:hAnsi="Arial" w:cs="Arial" w:eastAsia="Arial"/>
                <w:b w:val="0"/>
                <w:color w:val="1F2937"/>
                <w:sz w:val="22"/>
              </w:rPr>
              <w:t>VES</w:t>
            </w:r>
          </w:p>
        </w:tc>
        <w:tc>
          <w:tcPr>
            <w:tcW w:type="dxa" w:w="6236"/>
            <w:vAlign w:val="center"/>
          </w:tcPr>
          <w:p>
            <w:pPr>
              <w:spacing w:after="40" w:before="40"/>
              <w:jc w:val="left"/>
            </w:pPr>
            <w:r/>
            <w:r>
              <w:rPr>
                <w:rFonts w:ascii="Arial" w:hAnsi="Arial" w:cs="Arial" w:eastAsia="Arial"/>
                <w:b w:val="0"/>
                <w:color w:val="1F2937"/>
                <w:sz w:val="22"/>
              </w:rPr>
              <w:t>Valid Efficiency Score</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VLDB</w:t>
            </w:r>
          </w:p>
        </w:tc>
        <w:tc>
          <w:tcPr>
            <w:tcW w:type="dxa" w:w="6236"/>
            <w:vAlign w:val="center"/>
            <w:shd w:val="clear" w:color="auto" w:fill="F8FAFC"/>
          </w:tcPr>
          <w:p>
            <w:pPr>
              <w:spacing w:after="40" w:before="40"/>
              <w:jc w:val="left"/>
            </w:pPr>
            <w:r/>
            <w:r>
              <w:rPr>
                <w:rFonts w:ascii="Arial" w:hAnsi="Arial" w:cs="Arial" w:eastAsia="Arial"/>
                <w:b w:val="0"/>
                <w:color w:val="1F2937"/>
                <w:sz w:val="22"/>
              </w:rPr>
              <w:t>Very Large Data Bases (conference)</w:t>
            </w:r>
          </w:p>
        </w:tc>
      </w:tr>
      <w:tr>
        <w:tc>
          <w:tcPr>
            <w:tcW w:type="dxa" w:w="2551"/>
            <w:vAlign w:val="center"/>
          </w:tcPr>
          <w:p>
            <w:pPr>
              <w:spacing w:after="40" w:before="40"/>
              <w:jc w:val="left"/>
            </w:pPr>
            <w:r/>
            <w:r>
              <w:rPr>
                <w:rFonts w:ascii="Arial" w:hAnsi="Arial" w:cs="Arial" w:eastAsia="Arial"/>
                <w:b w:val="0"/>
                <w:color w:val="1F2937"/>
                <w:sz w:val="22"/>
              </w:rPr>
              <w:t>WILP</w:t>
            </w:r>
          </w:p>
        </w:tc>
        <w:tc>
          <w:tcPr>
            <w:tcW w:type="dxa" w:w="6236"/>
            <w:vAlign w:val="center"/>
          </w:tcPr>
          <w:p>
            <w:pPr>
              <w:spacing w:after="40" w:before="40"/>
              <w:jc w:val="left"/>
            </w:pPr>
            <w:r/>
            <w:r>
              <w:rPr>
                <w:rFonts w:ascii="Arial" w:hAnsi="Arial" w:cs="Arial" w:eastAsia="Arial"/>
                <w:b w:val="0"/>
                <w:color w:val="1F2937"/>
                <w:sz w:val="22"/>
              </w:rPr>
              <w:t>Work Integrated Learning Programmes</w:t>
            </w:r>
          </w:p>
        </w:tc>
      </w:tr>
      <w:tr>
        <w:tc>
          <w:tcPr>
            <w:tcW w:type="dxa" w:w="2551"/>
            <w:vAlign w:val="center"/>
            <w:shd w:val="clear" w:color="auto" w:fill="F8FAFC"/>
          </w:tcPr>
          <w:p>
            <w:pPr>
              <w:spacing w:after="40" w:before="40"/>
              <w:jc w:val="left"/>
            </w:pPr>
            <w:r/>
            <w:r>
              <w:rPr>
                <w:rFonts w:ascii="Arial" w:hAnsi="Arial" w:cs="Arial" w:eastAsia="Arial"/>
                <w:b w:val="0"/>
                <w:color w:val="1F2937"/>
                <w:sz w:val="22"/>
              </w:rPr>
              <w:t>YoY</w:t>
            </w:r>
          </w:p>
        </w:tc>
        <w:tc>
          <w:tcPr>
            <w:tcW w:type="dxa" w:w="6236"/>
            <w:vAlign w:val="center"/>
            <w:shd w:val="clear" w:color="auto" w:fill="F8FAFC"/>
          </w:tcPr>
          <w:p>
            <w:pPr>
              <w:spacing w:after="40" w:before="40"/>
              <w:jc w:val="left"/>
            </w:pPr>
            <w:r/>
            <w:r>
              <w:rPr>
                <w:rFonts w:ascii="Arial" w:hAnsi="Arial" w:cs="Arial" w:eastAsia="Arial"/>
                <w:b w:val="0"/>
                <w:color w:val="1F2937"/>
                <w:sz w:val="22"/>
              </w:rPr>
              <w:t>Year-over-Year</w:t>
            </w:r>
          </w:p>
        </w:tc>
      </w:tr>
      <w:tr>
        <w:tc>
          <w:tcPr>
            <w:tcW w:type="dxa" w:w="2551"/>
            <w:vAlign w:val="center"/>
          </w:tcPr>
          <w:p>
            <w:pPr>
              <w:spacing w:after="40" w:before="40"/>
              <w:jc w:val="left"/>
            </w:pPr>
            <w:r/>
            <w:r>
              <w:rPr>
                <w:rFonts w:ascii="Arial" w:hAnsi="Arial" w:cs="Arial" w:eastAsia="Arial"/>
                <w:b w:val="0"/>
                <w:color w:val="1F2937"/>
                <w:sz w:val="22"/>
              </w:rPr>
              <w:t>YTD</w:t>
            </w:r>
          </w:p>
        </w:tc>
        <w:tc>
          <w:tcPr>
            <w:tcW w:type="dxa" w:w="6236"/>
            <w:vAlign w:val="center"/>
          </w:tcPr>
          <w:p>
            <w:pPr>
              <w:spacing w:after="40" w:before="40"/>
              <w:jc w:val="left"/>
            </w:pPr>
            <w:r/>
            <w:r>
              <w:rPr>
                <w:rFonts w:ascii="Arial" w:hAnsi="Arial" w:cs="Arial" w:eastAsia="Arial"/>
                <w:b w:val="0"/>
                <w:color w:val="1F2937"/>
                <w:sz w:val="22"/>
              </w:rPr>
              <w:t>Year-to-Date</w:t>
            </w:r>
          </w:p>
        </w:tc>
      </w:tr>
    </w:tbl>
    <w:p>
      <w:pPr>
        <w:spacing w:after="80" w:before="80" w:line="288" w:lineRule="auto"/>
        <w:jc w:val="center"/>
      </w:pPr>
      <w:r>
        <w:rPr>
          <w:rFonts w:ascii="Arial" w:hAnsi="Arial" w:cs="Arial" w:eastAsia="Arial"/>
          <w:b/>
          <w:color w:val="1F2937"/>
          <w:sz w:val="24"/>
        </w:rPr>
        <w:t>Table 3.  Abbreviations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s="Arial" w:eastAsia="Arial"/>
        <w:b w:val="0"/>
        <w:color w:val="70707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