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Use-Case Flow Specification</w:t>
      </w:r>
    </w:p>
    <w:p>
      <w:pPr>
        <w:jc w:val="center"/>
      </w:pPr>
      <w:r>
        <w:rPr>
          <w:b/>
          <w:sz w:val="26"/>
        </w:rPr>
        <w:t>UC-03 — Transfer Solar Credits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>Primary Actor</w:t>
            </w:r>
          </w:p>
        </w:tc>
        <w:tc>
          <w:tcPr>
            <w:tcW w:type="dxa" w:w="5184"/>
          </w:tcPr>
          <w:p>
            <w:r>
              <w:t>Prosumer Resident</w:t>
            </w:r>
          </w:p>
        </w:tc>
      </w:tr>
      <w:tr>
        <w:tc>
          <w:tcPr>
            <w:tcW w:type="dxa" w:w="5184"/>
          </w:tcPr>
          <w:p>
            <w:r>
              <w:rPr>
                <w:b/>
              </w:rPr>
              <w:t>Supporting Actor</w:t>
            </w:r>
          </w:p>
        </w:tc>
        <w:tc>
          <w:tcPr>
            <w:tcW w:type="dxa" w:w="5184"/>
          </w:tcPr>
          <w:p>
            <w:r>
              <w:t>Utility Billing System</w:t>
            </w:r>
          </w:p>
        </w:tc>
      </w:tr>
      <w:tr>
        <w:tc>
          <w:tcPr>
            <w:tcW w:type="dxa" w:w="5184"/>
          </w:tcPr>
          <w:p>
            <w:r>
              <w:rPr>
                <w:b/>
              </w:rPr>
              <w:t>Goal</w:t>
            </w:r>
          </w:p>
        </w:tc>
        <w:tc>
          <w:tcPr>
            <w:tcW w:type="dxa" w:w="5184"/>
          </w:tcPr>
          <w:p>
            <w:r>
              <w:t>Transfer surplus solar credits from the prosumer's account to a registered neighbor's account.</w:t>
            </w:r>
          </w:p>
        </w:tc>
      </w:tr>
    </w:tbl>
    <w:p>
      <w:pPr>
        <w:pStyle w:val="Heading2"/>
      </w:pPr>
      <w:r>
        <w:t>Preconditions</w:t>
      </w:r>
    </w:p>
    <w:p>
      <w:pPr>
        <w:pStyle w:val="ListNumber"/>
      </w:pPr>
      <w:r>
        <w:t>The Prosumer Resident is registered with the Community Solar Credit Allocation Manager.</w:t>
      </w:r>
    </w:p>
    <w:p>
      <w:pPr>
        <w:pStyle w:val="ListNumber"/>
      </w:pPr>
      <w:r>
        <w:t>The Prosumer Resident is authenticated in the system.</w:t>
      </w:r>
    </w:p>
    <w:p>
      <w:pPr>
        <w:pStyle w:val="ListNumber"/>
      </w:pPr>
      <w:r>
        <w:t>The recipient is a registered participating neighbor.</w:t>
      </w:r>
    </w:p>
    <w:p>
      <w:pPr>
        <w:pStyle w:val="ListNumber"/>
      </w:pPr>
      <w:r>
        <w:t>The Prosumer Resident has sufficient available solar credits for the requested transfer.</w:t>
      </w:r>
    </w:p>
    <w:p>
      <w:pPr>
        <w:pStyle w:val="Heading2"/>
      </w:pPr>
      <w:r>
        <w:t>Postconditions</w:t>
      </w:r>
    </w:p>
    <w:p>
      <w:r>
        <w:t>Success:</w:t>
      </w:r>
    </w:p>
    <w:p>
      <w:pPr>
        <w:pStyle w:val="ListBullet"/>
      </w:pPr>
      <w:r>
        <w:t>The specified number of solar credits is deducted from the sender's available balance.</w:t>
      </w:r>
    </w:p>
    <w:p>
      <w:pPr>
        <w:pStyle w:val="ListBullet"/>
      </w:pPr>
      <w:r>
        <w:t>The transferred credits are added to the recipient's account.</w:t>
      </w:r>
    </w:p>
    <w:p>
      <w:pPr>
        <w:pStyle w:val="ListBullet"/>
      </w:pPr>
      <w:r>
        <w:t>The transfer transaction is recorded.</w:t>
      </w:r>
    </w:p>
    <w:p>
      <w:pPr>
        <w:pStyle w:val="ListBullet"/>
      </w:pPr>
      <w:r>
        <w:t>The recipient's applicable billing information is updated.</w:t>
      </w:r>
    </w:p>
    <w:p>
      <w:r>
        <w:t>Failure:</w:t>
      </w:r>
    </w:p>
    <w:p>
      <w:pPr>
        <w:pStyle w:val="ListBullet"/>
      </w:pPr>
      <w:r>
        <w:t>No credits are deducted from the sender.</w:t>
      </w:r>
    </w:p>
    <w:p>
      <w:pPr>
        <w:pStyle w:val="ListBullet"/>
      </w:pPr>
      <w:r>
        <w:t>No credits are added to the recipient.</w:t>
      </w:r>
    </w:p>
    <w:p>
      <w:pPr>
        <w:pStyle w:val="ListBullet"/>
      </w:pPr>
      <w:r>
        <w:t>The failed transfer attempt is reported to the Prosumer Resident.</w:t>
      </w:r>
    </w:p>
    <w:p>
      <w:pPr>
        <w:pStyle w:val="Heading2"/>
      </w:pPr>
      <w:r>
        <w:t>Main Success Scenario</w:t>
      </w:r>
    </w:p>
    <w:p>
      <w:pPr>
        <w:pStyle w:val="ListNumber"/>
      </w:pPr>
      <w:r>
        <w:t>The Prosumer Resident selects Transfer Solar Credits.</w:t>
      </w:r>
    </w:p>
    <w:p>
      <w:pPr>
        <w:pStyle w:val="ListNumber"/>
      </w:pPr>
      <w:r>
        <w:t>The system displays the prosumer's available solar credit balance.</w:t>
      </w:r>
    </w:p>
    <w:p>
      <w:pPr>
        <w:pStyle w:val="ListNumber"/>
      </w:pPr>
      <w:r>
        <w:t>The Prosumer Resident enters the registered neighbor's account and the number of credits to transfer.</w:t>
      </w:r>
    </w:p>
    <w:p>
      <w:pPr>
        <w:pStyle w:val="ListNumber"/>
      </w:pPr>
      <w:r>
        <w:t>The system validates the recipient account and requested transfer amount.</w:t>
      </w:r>
    </w:p>
    <w:p>
      <w:pPr>
        <w:pStyle w:val="ListNumber"/>
      </w:pPr>
      <w:r>
        <w:t>The system verifies that the Prosumer Resident has sufficient available credits.</w:t>
      </w:r>
    </w:p>
    <w:p>
      <w:pPr>
        <w:pStyle w:val="ListNumber"/>
      </w:pPr>
      <w:r>
        <w:t>The system confirms the transfer details with the Prosumer Resident.</w:t>
      </w:r>
    </w:p>
    <w:p>
      <w:pPr>
        <w:pStyle w:val="ListNumber"/>
      </w:pPr>
      <w:r>
        <w:t>The Prosumer Resident confirms the transfer.</w:t>
      </w:r>
    </w:p>
    <w:p>
      <w:pPr>
        <w:pStyle w:val="ListNumber"/>
      </w:pPr>
      <w:r>
        <w:t>The system deducts the specified credits from the Prosumer Resident's account.</w:t>
      </w:r>
    </w:p>
    <w:p>
      <w:pPr>
        <w:pStyle w:val="ListNumber"/>
      </w:pPr>
      <w:r>
        <w:t>The system adds the transferred credits to the recipient's account.</w:t>
      </w:r>
    </w:p>
    <w:p>
      <w:pPr>
        <w:pStyle w:val="ListNumber"/>
      </w:pPr>
      <w:r>
        <w:t>The system records the transaction.</w:t>
      </w:r>
    </w:p>
    <w:p>
      <w:pPr>
        <w:pStyle w:val="ListNumber"/>
      </w:pPr>
      <w:r>
        <w:t>The system updates the applicable billing information.</w:t>
      </w:r>
    </w:p>
    <w:p>
      <w:pPr>
        <w:pStyle w:val="ListNumber"/>
      </w:pPr>
      <w:r>
        <w:t>The system displays a transfer-success confirmation to the Prosumer Resident.</w:t>
      </w:r>
    </w:p>
    <w:p>
      <w:pPr>
        <w:pStyle w:val="ListNumber"/>
      </w:pPr>
      <w:r>
        <w:t>The use case ends successfully.</w:t>
      </w:r>
    </w:p>
    <w:p>
      <w:pPr>
        <w:pStyle w:val="Heading2"/>
      </w:pPr>
      <w:r>
        <w:t>Alternate Flow — Insufficient Credit Balance</w:t>
      </w:r>
    </w:p>
    <w:p>
      <w:pPr>
        <w:pStyle w:val="ListNumber"/>
      </w:pPr>
      <w:r>
        <w:t>The system determines that the requested transfer amount is greater than the Prosumer Resident's available credit balance.</w:t>
      </w:r>
    </w:p>
    <w:p>
      <w:pPr>
        <w:pStyle w:val="ListNumber"/>
      </w:pPr>
      <w:r>
        <w:t>The system rejects the transfer.</w:t>
      </w:r>
    </w:p>
    <w:p>
      <w:pPr>
        <w:pStyle w:val="ListNumber"/>
      </w:pPr>
      <w:r>
        <w:t>The system displays an error message indicating that the available credit balance is insufficient.</w:t>
      </w:r>
    </w:p>
    <w:p>
      <w:pPr>
        <w:pStyle w:val="ListNumber"/>
      </w:pPr>
      <w:r>
        <w:t>The Prosumer Resident may enter a smaller transfer amount and retry.</w:t>
      </w:r>
    </w:p>
    <w:p>
      <w:pPr>
        <w:pStyle w:val="ListNumber"/>
      </w:pPr>
      <w:r>
        <w:t>If the Prosumer Resident does not retry, the use case ends without modifying either account balance.</w:t>
      </w:r>
    </w:p>
    <w:sectPr w:rsidR="00FC693F" w:rsidRPr="0006063C" w:rsidSect="00034616"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