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DDA85" w14:textId="77777777" w:rsidR="00925953" w:rsidRPr="00925953" w:rsidRDefault="00925953" w:rsidP="00925953">
      <w:pPr>
        <w:rPr>
          <w:rFonts w:asciiTheme="majorHAnsi" w:hAnsiTheme="majorHAnsi" w:cstheme="majorHAnsi"/>
        </w:rPr>
      </w:pPr>
      <w:r w:rsidRPr="00925953">
        <w:rPr>
          <w:rFonts w:asciiTheme="majorHAnsi" w:hAnsiTheme="majorHAnsi" w:cstheme="majorHAnsi"/>
        </w:rPr>
        <w:t>Name: Anirudh G Achar</w:t>
      </w:r>
    </w:p>
    <w:p w14:paraId="6604E7A5" w14:textId="77777777" w:rsidR="00925953" w:rsidRPr="00925953" w:rsidRDefault="00925953" w:rsidP="00925953">
      <w:pPr>
        <w:rPr>
          <w:rFonts w:asciiTheme="majorHAnsi" w:hAnsiTheme="majorHAnsi" w:cstheme="majorHAnsi"/>
        </w:rPr>
      </w:pPr>
      <w:r w:rsidRPr="00925953">
        <w:rPr>
          <w:rFonts w:asciiTheme="majorHAnsi" w:hAnsiTheme="majorHAnsi" w:cstheme="majorHAnsi"/>
        </w:rPr>
        <w:t>SRN: PES1UG24AM342</w:t>
      </w:r>
    </w:p>
    <w:p w14:paraId="6537A225" w14:textId="77777777" w:rsidR="00925953" w:rsidRDefault="00925953" w:rsidP="00925953">
      <w:pPr>
        <w:rPr>
          <w:rFonts w:asciiTheme="majorHAnsi" w:hAnsiTheme="majorHAnsi" w:cstheme="majorHAnsi"/>
        </w:rPr>
      </w:pPr>
      <w:r w:rsidRPr="00925953">
        <w:rPr>
          <w:rFonts w:asciiTheme="majorHAnsi" w:hAnsiTheme="majorHAnsi" w:cstheme="majorHAnsi"/>
        </w:rPr>
        <w:t>Section: F</w:t>
      </w:r>
    </w:p>
    <w:p w14:paraId="55262782" w14:textId="77777777" w:rsidR="006E32E4" w:rsidRPr="00925953" w:rsidRDefault="006E32E4" w:rsidP="00925953">
      <w:pPr>
        <w:rPr>
          <w:rFonts w:asciiTheme="majorHAnsi" w:hAnsiTheme="majorHAnsi" w:cstheme="majorHAnsi"/>
        </w:rPr>
      </w:pPr>
    </w:p>
    <w:p w14:paraId="611A9E9F" w14:textId="335422B7" w:rsidR="006E32E4" w:rsidRPr="006E32E4" w:rsidRDefault="00925953" w:rsidP="00925953">
      <w:pPr>
        <w:rPr>
          <w:u w:val="single"/>
        </w:rPr>
      </w:pPr>
      <w:r w:rsidRPr="006E32E4">
        <w:rPr>
          <w:u w:val="single"/>
        </w:rPr>
        <w:t>Lab 3: Component Modelling &amp; Architectural Pattern Selection</w:t>
      </w:r>
      <w:r w:rsidR="006E32E4" w:rsidRPr="006E32E4">
        <w:rPr>
          <w:u w:val="single"/>
        </w:rPr>
        <w:t>:</w:t>
      </w:r>
    </w:p>
    <w:p w14:paraId="180BFC4D" w14:textId="77777777" w:rsidR="00925953" w:rsidRPr="006E32E4" w:rsidRDefault="00925953" w:rsidP="00925953">
      <w:pPr>
        <w:rPr>
          <w:rFonts w:asciiTheme="majorHAnsi" w:hAnsiTheme="majorHAnsi" w:cstheme="majorHAnsi"/>
          <w:b/>
          <w:bCs/>
          <w:sz w:val="22"/>
          <w:szCs w:val="22"/>
        </w:rPr>
      </w:pPr>
      <w:r w:rsidRPr="006E32E4">
        <w:rPr>
          <w:rFonts w:asciiTheme="majorHAnsi" w:hAnsiTheme="majorHAnsi" w:cstheme="majorHAnsi"/>
          <w:b/>
          <w:bCs/>
          <w:sz w:val="22"/>
          <w:szCs w:val="22"/>
          <w:u w:val="single"/>
        </w:rPr>
        <w:t>System:</w:t>
      </w:r>
      <w:r w:rsidRPr="006E32E4">
        <w:rPr>
          <w:rFonts w:asciiTheme="majorHAnsi" w:hAnsiTheme="majorHAnsi" w:cstheme="majorHAnsi"/>
          <w:b/>
          <w:bCs/>
          <w:sz w:val="22"/>
          <w:szCs w:val="22"/>
        </w:rPr>
        <w:t xml:space="preserve"> Internal Microservice </w:t>
      </w:r>
      <w:proofErr w:type="spellStart"/>
      <w:r w:rsidRPr="006E32E4">
        <w:rPr>
          <w:rFonts w:asciiTheme="majorHAnsi" w:hAnsiTheme="majorHAnsi" w:cstheme="majorHAnsi"/>
          <w:b/>
          <w:bCs/>
          <w:sz w:val="22"/>
          <w:szCs w:val="22"/>
        </w:rPr>
        <w:t>Catalog</w:t>
      </w:r>
      <w:proofErr w:type="spellEnd"/>
      <w:r w:rsidRPr="006E32E4">
        <w:rPr>
          <w:rFonts w:asciiTheme="majorHAnsi" w:hAnsiTheme="majorHAnsi" w:cstheme="majorHAnsi"/>
          <w:b/>
          <w:bCs/>
          <w:sz w:val="22"/>
          <w:szCs w:val="22"/>
        </w:rPr>
        <w:t xml:space="preserve"> &amp; Health Portal (IMCHP)</w:t>
      </w:r>
    </w:p>
    <w:p w14:paraId="1EDAD537" w14:textId="77777777" w:rsidR="00925953" w:rsidRPr="006E32E4" w:rsidRDefault="00925953" w:rsidP="00925953">
      <w:pPr>
        <w:rPr>
          <w:rFonts w:asciiTheme="majorHAnsi" w:hAnsiTheme="majorHAnsi" w:cstheme="majorHAnsi"/>
          <w:b/>
          <w:bCs/>
          <w:sz w:val="22"/>
          <w:szCs w:val="22"/>
          <w:u w:val="single"/>
        </w:rPr>
      </w:pPr>
      <w:r w:rsidRPr="006E32E4">
        <w:rPr>
          <w:rFonts w:asciiTheme="majorHAnsi" w:hAnsiTheme="majorHAnsi" w:cstheme="majorHAnsi"/>
          <w:b/>
          <w:bCs/>
          <w:sz w:val="22"/>
          <w:szCs w:val="22"/>
          <w:u w:val="single"/>
        </w:rPr>
        <w:t>Architecture Selection: Microservices Architecture</w:t>
      </w:r>
    </w:p>
    <w:p w14:paraId="4C325E25" w14:textId="53A4E8DC" w:rsidR="00925953" w:rsidRPr="006E32E4" w:rsidRDefault="00CE3911" w:rsidP="00925953">
      <w:pPr>
        <w:rPr>
          <w:rFonts w:asciiTheme="majorHAnsi" w:hAnsiTheme="majorHAnsi" w:cstheme="majorHAnsi"/>
          <w:b/>
          <w:bCs/>
          <w:sz w:val="22"/>
          <w:szCs w:val="22"/>
        </w:rPr>
      </w:pPr>
      <w:r>
        <w:rPr>
          <w:rFonts w:asciiTheme="majorHAnsi" w:hAnsiTheme="majorHAnsi" w:cstheme="majorHAnsi"/>
          <w:b/>
          <w:bCs/>
          <w:sz w:val="22"/>
          <w:szCs w:val="22"/>
        </w:rPr>
        <w:t>I</w:t>
      </w:r>
      <w:r w:rsidR="00925953" w:rsidRPr="006E32E4">
        <w:rPr>
          <w:rFonts w:asciiTheme="majorHAnsi" w:hAnsiTheme="majorHAnsi" w:cstheme="majorHAnsi"/>
          <w:b/>
          <w:bCs/>
          <w:sz w:val="22"/>
          <w:szCs w:val="22"/>
        </w:rPr>
        <w:t xml:space="preserve"> ch</w:t>
      </w:r>
      <w:r>
        <w:rPr>
          <w:rFonts w:asciiTheme="majorHAnsi" w:hAnsiTheme="majorHAnsi" w:cstheme="majorHAnsi"/>
          <w:b/>
          <w:bCs/>
          <w:sz w:val="22"/>
          <w:szCs w:val="22"/>
        </w:rPr>
        <w:t>o</w:t>
      </w:r>
      <w:r w:rsidR="00925953" w:rsidRPr="006E32E4">
        <w:rPr>
          <w:rFonts w:asciiTheme="majorHAnsi" w:hAnsiTheme="majorHAnsi" w:cstheme="majorHAnsi"/>
          <w:b/>
          <w:bCs/>
          <w:sz w:val="22"/>
          <w:szCs w:val="22"/>
        </w:rPr>
        <w:t xml:space="preserve">ose Microservices Architecture for the Internal Microservice </w:t>
      </w:r>
      <w:proofErr w:type="spellStart"/>
      <w:r w:rsidR="00925953" w:rsidRPr="006E32E4">
        <w:rPr>
          <w:rFonts w:asciiTheme="majorHAnsi" w:hAnsiTheme="majorHAnsi" w:cstheme="majorHAnsi"/>
          <w:b/>
          <w:bCs/>
          <w:sz w:val="22"/>
          <w:szCs w:val="22"/>
        </w:rPr>
        <w:t>Catalog</w:t>
      </w:r>
      <w:proofErr w:type="spellEnd"/>
      <w:r w:rsidR="00925953" w:rsidRPr="006E32E4">
        <w:rPr>
          <w:rFonts w:asciiTheme="majorHAnsi" w:hAnsiTheme="majorHAnsi" w:cstheme="majorHAnsi"/>
          <w:b/>
          <w:bCs/>
          <w:sz w:val="22"/>
          <w:szCs w:val="22"/>
        </w:rPr>
        <w:t xml:space="preserve"> &amp; Health Portal </w:t>
      </w:r>
      <w:r>
        <w:rPr>
          <w:rFonts w:asciiTheme="majorHAnsi" w:hAnsiTheme="majorHAnsi" w:cstheme="majorHAnsi"/>
          <w:b/>
          <w:bCs/>
          <w:sz w:val="22"/>
          <w:szCs w:val="22"/>
        </w:rPr>
        <w:t>since</w:t>
      </w:r>
      <w:r w:rsidR="00925953" w:rsidRPr="006E32E4">
        <w:rPr>
          <w:rFonts w:asciiTheme="majorHAnsi" w:hAnsiTheme="majorHAnsi" w:cstheme="majorHAnsi"/>
          <w:b/>
          <w:bCs/>
          <w:sz w:val="22"/>
          <w:szCs w:val="22"/>
        </w:rPr>
        <w:t xml:space="preserve"> the system contains several distinct functions that can be separated into independently manageable service such as service registration, health monitoring, alert notification, API documentation, and dashboard visualization.</w:t>
      </w:r>
    </w:p>
    <w:p w14:paraId="43529000" w14:textId="77777777" w:rsidR="00925953" w:rsidRPr="006E32E4" w:rsidRDefault="00925953" w:rsidP="00925953">
      <w:pPr>
        <w:rPr>
          <w:rFonts w:asciiTheme="majorHAnsi" w:hAnsiTheme="majorHAnsi" w:cstheme="majorHAnsi"/>
          <w:b/>
          <w:bCs/>
          <w:sz w:val="22"/>
          <w:szCs w:val="22"/>
          <w:u w:val="single"/>
        </w:rPr>
      </w:pPr>
      <w:r w:rsidRPr="006E32E4">
        <w:rPr>
          <w:rFonts w:asciiTheme="majorHAnsi" w:hAnsiTheme="majorHAnsi" w:cstheme="majorHAnsi"/>
          <w:b/>
          <w:bCs/>
          <w:sz w:val="22"/>
          <w:szCs w:val="22"/>
          <w:u w:val="single"/>
        </w:rPr>
        <w:t>Reason 1 - Independent Service Management:</w:t>
      </w:r>
      <w:r w:rsidRPr="006E32E4">
        <w:rPr>
          <w:rFonts w:asciiTheme="majorHAnsi" w:hAnsiTheme="majorHAnsi" w:cstheme="majorHAnsi"/>
          <w:b/>
          <w:bCs/>
          <w:sz w:val="22"/>
          <w:szCs w:val="22"/>
        </w:rPr>
        <w:br/>
        <w:t>The health monitoring functionality performs periodic health checks on registered microservices and maintains their health status and availability information. Separating this functionality into a dedicated Health Monitoring Service allows it to operate independently from the dashboard and API documentation components. This is suitable for the system because health monitoring is a continuous backend process.</w:t>
      </w:r>
    </w:p>
    <w:p w14:paraId="516B32AE" w14:textId="4EA5B630" w:rsidR="00925953" w:rsidRPr="006E32E4" w:rsidRDefault="00925953" w:rsidP="00925953">
      <w:pPr>
        <w:rPr>
          <w:rFonts w:asciiTheme="majorHAnsi" w:hAnsiTheme="majorHAnsi" w:cstheme="majorHAnsi"/>
          <w:b/>
          <w:bCs/>
          <w:sz w:val="22"/>
          <w:szCs w:val="22"/>
        </w:rPr>
      </w:pPr>
      <w:r w:rsidRPr="006E32E4">
        <w:rPr>
          <w:rFonts w:asciiTheme="majorHAnsi" w:hAnsiTheme="majorHAnsi" w:cstheme="majorHAnsi"/>
          <w:b/>
          <w:bCs/>
          <w:sz w:val="22"/>
          <w:szCs w:val="22"/>
          <w:u w:val="single"/>
        </w:rPr>
        <w:t>Reason 2 - Fault Isolation:</w:t>
      </w:r>
      <w:r w:rsidRPr="006E32E4">
        <w:rPr>
          <w:rFonts w:asciiTheme="majorHAnsi" w:hAnsiTheme="majorHAnsi" w:cstheme="majorHAnsi"/>
          <w:b/>
          <w:bCs/>
          <w:sz w:val="22"/>
          <w:szCs w:val="22"/>
        </w:rPr>
        <w:br/>
        <w:t xml:space="preserve">The system must detect three consecutive failed health probes and generate a downtime notification for the DevOps Engineer. Separating the Alert Notification Service from the Health Monitoring Service </w:t>
      </w:r>
      <w:r w:rsidR="00CE3911">
        <w:rPr>
          <w:rFonts w:asciiTheme="majorHAnsi" w:hAnsiTheme="majorHAnsi" w:cstheme="majorHAnsi"/>
          <w:b/>
          <w:bCs/>
          <w:sz w:val="22"/>
          <w:szCs w:val="22"/>
        </w:rPr>
        <w:t xml:space="preserve">will </w:t>
      </w:r>
      <w:r w:rsidRPr="006E32E4">
        <w:rPr>
          <w:rFonts w:asciiTheme="majorHAnsi" w:hAnsiTheme="majorHAnsi" w:cstheme="majorHAnsi"/>
          <w:b/>
          <w:bCs/>
          <w:sz w:val="22"/>
          <w:szCs w:val="22"/>
        </w:rPr>
        <w:t>provide better fault isolation. A problem in the dashboard or documentation service does not have to stop core health monitoring and alerting functions.</w:t>
      </w:r>
    </w:p>
    <w:p w14:paraId="18841F85" w14:textId="576E9C04" w:rsidR="00925953" w:rsidRPr="006E32E4" w:rsidRDefault="00925953" w:rsidP="00925953">
      <w:pPr>
        <w:rPr>
          <w:rFonts w:asciiTheme="majorHAnsi" w:hAnsiTheme="majorHAnsi" w:cstheme="majorHAnsi"/>
          <w:b/>
          <w:bCs/>
          <w:sz w:val="22"/>
          <w:szCs w:val="22"/>
        </w:rPr>
      </w:pPr>
      <w:r w:rsidRPr="006E32E4">
        <w:rPr>
          <w:rFonts w:asciiTheme="majorHAnsi" w:hAnsiTheme="majorHAnsi" w:cstheme="majorHAnsi"/>
          <w:b/>
          <w:bCs/>
          <w:sz w:val="22"/>
          <w:szCs w:val="22"/>
          <w:u w:val="single"/>
        </w:rPr>
        <w:t>Security Advantage:</w:t>
      </w:r>
      <w:r w:rsidRPr="006E32E4">
        <w:rPr>
          <w:rFonts w:asciiTheme="majorHAnsi" w:hAnsiTheme="majorHAnsi" w:cstheme="majorHAnsi"/>
          <w:b/>
          <w:bCs/>
          <w:sz w:val="22"/>
          <w:szCs w:val="22"/>
          <w:u w:val="single"/>
        </w:rPr>
        <w:br/>
      </w:r>
      <w:r w:rsidRPr="006E32E4">
        <w:rPr>
          <w:rFonts w:asciiTheme="majorHAnsi" w:hAnsiTheme="majorHAnsi" w:cstheme="majorHAnsi"/>
          <w:b/>
          <w:bCs/>
          <w:sz w:val="22"/>
          <w:szCs w:val="22"/>
        </w:rPr>
        <w:t xml:space="preserve">Microservices provide clear service boundaries through controlled APIs. Access to functions such as service registration and monitoring data can be restricted to authorized users and services, </w:t>
      </w:r>
      <w:r w:rsidR="00CE3911">
        <w:rPr>
          <w:rFonts w:asciiTheme="majorHAnsi" w:hAnsiTheme="majorHAnsi" w:cstheme="majorHAnsi"/>
          <w:b/>
          <w:bCs/>
          <w:sz w:val="22"/>
          <w:szCs w:val="22"/>
        </w:rPr>
        <w:t>which will reduce</w:t>
      </w:r>
      <w:r w:rsidRPr="006E32E4">
        <w:rPr>
          <w:rFonts w:asciiTheme="majorHAnsi" w:hAnsiTheme="majorHAnsi" w:cstheme="majorHAnsi"/>
          <w:b/>
          <w:bCs/>
          <w:sz w:val="22"/>
          <w:szCs w:val="22"/>
        </w:rPr>
        <w:t xml:space="preserve"> unnecessary access between components.</w:t>
      </w:r>
    </w:p>
    <w:p w14:paraId="1FB9F0C8" w14:textId="77777777" w:rsidR="00925953" w:rsidRPr="006E32E4" w:rsidRDefault="00925953" w:rsidP="00925953">
      <w:pPr>
        <w:rPr>
          <w:rFonts w:asciiTheme="majorHAnsi" w:hAnsiTheme="majorHAnsi" w:cstheme="majorHAnsi"/>
          <w:b/>
          <w:bCs/>
          <w:sz w:val="22"/>
          <w:szCs w:val="22"/>
        </w:rPr>
      </w:pPr>
      <w:r w:rsidRPr="006E32E4">
        <w:rPr>
          <w:rFonts w:asciiTheme="majorHAnsi" w:hAnsiTheme="majorHAnsi" w:cstheme="majorHAnsi"/>
          <w:b/>
          <w:bCs/>
          <w:sz w:val="22"/>
          <w:szCs w:val="22"/>
          <w:u w:val="single"/>
        </w:rPr>
        <w:t>Performance Benefit:</w:t>
      </w:r>
      <w:r w:rsidRPr="006E32E4">
        <w:rPr>
          <w:rFonts w:asciiTheme="majorHAnsi" w:hAnsiTheme="majorHAnsi" w:cstheme="majorHAnsi"/>
          <w:b/>
          <w:bCs/>
          <w:sz w:val="22"/>
          <w:szCs w:val="22"/>
        </w:rPr>
        <w:br/>
        <w:t xml:space="preserve">The architecture allows resource-intensive services to be scaled independently. In particular, the Health Monitoring Service can handle an increasing number of registered microservices and health probes without requiring the entire portal to be scaled. This supports the requirement for the dependency graph to handle architectures containing up to 200 services smoothly. </w:t>
      </w:r>
    </w:p>
    <w:p w14:paraId="4A12A6BC" w14:textId="75B5C034" w:rsidR="00F11DE1" w:rsidRPr="006E32E4" w:rsidRDefault="00925953">
      <w:pPr>
        <w:rPr>
          <w:rFonts w:asciiTheme="majorHAnsi" w:hAnsiTheme="majorHAnsi" w:cstheme="majorHAnsi"/>
          <w:b/>
          <w:bCs/>
          <w:sz w:val="22"/>
          <w:szCs w:val="22"/>
        </w:rPr>
      </w:pPr>
      <w:r w:rsidRPr="006E32E4">
        <w:rPr>
          <w:rFonts w:asciiTheme="majorHAnsi" w:hAnsiTheme="majorHAnsi" w:cstheme="majorHAnsi"/>
          <w:b/>
          <w:bCs/>
          <w:sz w:val="22"/>
          <w:szCs w:val="22"/>
          <w:u w:val="single"/>
        </w:rPr>
        <w:t>Conclusion:</w:t>
      </w:r>
      <w:r w:rsidRPr="006E32E4">
        <w:rPr>
          <w:rFonts w:asciiTheme="majorHAnsi" w:hAnsiTheme="majorHAnsi" w:cstheme="majorHAnsi"/>
          <w:b/>
          <w:bCs/>
          <w:sz w:val="22"/>
          <w:szCs w:val="22"/>
        </w:rPr>
        <w:br/>
        <w:t xml:space="preserve">Microservices Architecture provides modularity, fault isolation, and independent scaling for the major functions of the Internal Microservice </w:t>
      </w:r>
      <w:proofErr w:type="spellStart"/>
      <w:r w:rsidRPr="006E32E4">
        <w:rPr>
          <w:rFonts w:asciiTheme="majorHAnsi" w:hAnsiTheme="majorHAnsi" w:cstheme="majorHAnsi"/>
          <w:b/>
          <w:bCs/>
          <w:sz w:val="22"/>
          <w:szCs w:val="22"/>
        </w:rPr>
        <w:t>Catalog</w:t>
      </w:r>
      <w:proofErr w:type="spellEnd"/>
      <w:r w:rsidRPr="006E32E4">
        <w:rPr>
          <w:rFonts w:asciiTheme="majorHAnsi" w:hAnsiTheme="majorHAnsi" w:cstheme="majorHAnsi"/>
          <w:b/>
          <w:bCs/>
          <w:sz w:val="22"/>
          <w:szCs w:val="22"/>
        </w:rPr>
        <w:t xml:space="preserve"> &amp; Health Portal, </w:t>
      </w:r>
      <w:r w:rsidR="00CE3911">
        <w:rPr>
          <w:rFonts w:asciiTheme="majorHAnsi" w:hAnsiTheme="majorHAnsi" w:cstheme="majorHAnsi"/>
          <w:b/>
          <w:bCs/>
          <w:sz w:val="22"/>
          <w:szCs w:val="22"/>
        </w:rPr>
        <w:t>which makes it</w:t>
      </w:r>
      <w:r w:rsidRPr="006E32E4">
        <w:rPr>
          <w:rFonts w:asciiTheme="majorHAnsi" w:hAnsiTheme="majorHAnsi" w:cstheme="majorHAnsi"/>
          <w:b/>
          <w:bCs/>
          <w:sz w:val="22"/>
          <w:szCs w:val="22"/>
        </w:rPr>
        <w:t xml:space="preserve"> suitable for the system's monitoring, notification, registration, and visualization requirements.</w:t>
      </w:r>
    </w:p>
    <w:sectPr w:rsidR="00F11DE1" w:rsidRPr="006E32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DE1"/>
    <w:rsid w:val="00534269"/>
    <w:rsid w:val="006E32E4"/>
    <w:rsid w:val="00925953"/>
    <w:rsid w:val="00B00EDB"/>
    <w:rsid w:val="00CE3911"/>
    <w:rsid w:val="00F11D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DB543"/>
  <w15:chartTrackingRefBased/>
  <w15:docId w15:val="{E5258D1A-71BB-44E2-9110-16C08B50B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1D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1D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1D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1D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1D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1D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1D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1D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1D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D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1D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1D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1D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1D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1D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1D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1D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1DE1"/>
    <w:rPr>
      <w:rFonts w:eastAsiaTheme="majorEastAsia" w:cstheme="majorBidi"/>
      <w:color w:val="272727" w:themeColor="text1" w:themeTint="D8"/>
    </w:rPr>
  </w:style>
  <w:style w:type="paragraph" w:styleId="Title">
    <w:name w:val="Title"/>
    <w:basedOn w:val="Normal"/>
    <w:next w:val="Normal"/>
    <w:link w:val="TitleChar"/>
    <w:uiPriority w:val="10"/>
    <w:qFormat/>
    <w:rsid w:val="00F11D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1D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1D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1D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1DE1"/>
    <w:pPr>
      <w:spacing w:before="160"/>
      <w:jc w:val="center"/>
    </w:pPr>
    <w:rPr>
      <w:i/>
      <w:iCs/>
      <w:color w:val="404040" w:themeColor="text1" w:themeTint="BF"/>
    </w:rPr>
  </w:style>
  <w:style w:type="character" w:customStyle="1" w:styleId="QuoteChar">
    <w:name w:val="Quote Char"/>
    <w:basedOn w:val="DefaultParagraphFont"/>
    <w:link w:val="Quote"/>
    <w:uiPriority w:val="29"/>
    <w:rsid w:val="00F11DE1"/>
    <w:rPr>
      <w:i/>
      <w:iCs/>
      <w:color w:val="404040" w:themeColor="text1" w:themeTint="BF"/>
    </w:rPr>
  </w:style>
  <w:style w:type="paragraph" w:styleId="ListParagraph">
    <w:name w:val="List Paragraph"/>
    <w:basedOn w:val="Normal"/>
    <w:uiPriority w:val="34"/>
    <w:qFormat/>
    <w:rsid w:val="00F11DE1"/>
    <w:pPr>
      <w:ind w:left="720"/>
      <w:contextualSpacing/>
    </w:pPr>
  </w:style>
  <w:style w:type="character" w:styleId="IntenseEmphasis">
    <w:name w:val="Intense Emphasis"/>
    <w:basedOn w:val="DefaultParagraphFont"/>
    <w:uiPriority w:val="21"/>
    <w:qFormat/>
    <w:rsid w:val="00F11DE1"/>
    <w:rPr>
      <w:i/>
      <w:iCs/>
      <w:color w:val="2F5496" w:themeColor="accent1" w:themeShade="BF"/>
    </w:rPr>
  </w:style>
  <w:style w:type="paragraph" w:styleId="IntenseQuote">
    <w:name w:val="Intense Quote"/>
    <w:basedOn w:val="Normal"/>
    <w:next w:val="Normal"/>
    <w:link w:val="IntenseQuoteChar"/>
    <w:uiPriority w:val="30"/>
    <w:qFormat/>
    <w:rsid w:val="00F11D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1DE1"/>
    <w:rPr>
      <w:i/>
      <w:iCs/>
      <w:color w:val="2F5496" w:themeColor="accent1" w:themeShade="BF"/>
    </w:rPr>
  </w:style>
  <w:style w:type="character" w:styleId="IntenseReference">
    <w:name w:val="Intense Reference"/>
    <w:basedOn w:val="DefaultParagraphFont"/>
    <w:uiPriority w:val="32"/>
    <w:qFormat/>
    <w:rsid w:val="00F11D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350</Words>
  <Characters>1996</Characters>
  <Application>Microsoft Office Word</Application>
  <DocSecurity>0</DocSecurity>
  <Lines>16</Lines>
  <Paragraphs>4</Paragraphs>
  <ScaleCrop>false</ScaleCrop>
  <Company/>
  <LinksUpToDate>false</LinksUpToDate>
  <CharactersWithSpaces>2342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Anirudh Achar</dc:creator>
  <cp:keywords/>
  <dc:description/>
  <cp:lastModifiedBy>Anirudh Achar</cp:lastModifiedBy>
  <cp:revision>4</cp:revision>
  <dcterms:created xsi:type="dcterms:W3CDTF">2026-09-12T07:53:00Z</dcterms:created>
  <dcterms:modified xsi:type="dcterms:W3CDTF">2026-09-12T08:07:00Z</dcterms:modified>
</cp:coreProperties>
</file>