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713D" w14:textId="77777777" w:rsidR="008238C2" w:rsidRPr="00AA42C9" w:rsidRDefault="008238C2" w:rsidP="00AA42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42C9">
        <w:rPr>
          <w:rFonts w:ascii="Times New Roman" w:hAnsi="Times New Roman" w:cs="Times New Roman"/>
          <w:b/>
          <w:bCs/>
          <w:sz w:val="24"/>
          <w:szCs w:val="24"/>
        </w:rPr>
        <w:t>ROOT CAUSE ANALYSIS — OLIST SLA BREACH (7.57%)</w:t>
      </w:r>
    </w:p>
    <w:p w14:paraId="051B0934" w14:textId="77777777" w:rsidR="008238C2" w:rsidRPr="00AA42C9" w:rsidRDefault="008238C2" w:rsidP="008238C2">
      <w:pPr>
        <w:rPr>
          <w:rFonts w:ascii="Times New Roman" w:hAnsi="Times New Roman" w:cs="Times New Roman"/>
        </w:rPr>
      </w:pPr>
    </w:p>
    <w:p w14:paraId="793CD3C6" w14:textId="77777777" w:rsidR="008238C2" w:rsidRPr="00AA42C9" w:rsidRDefault="008238C2" w:rsidP="008238C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A42C9">
        <w:rPr>
          <w:rFonts w:ascii="Times New Roman" w:hAnsi="Times New Roman" w:cs="Times New Roman"/>
          <w:b/>
          <w:bCs/>
          <w:sz w:val="20"/>
          <w:szCs w:val="20"/>
        </w:rPr>
        <w:t>PRIMARY CAUSES:</w:t>
      </w:r>
    </w:p>
    <w:p w14:paraId="2D954280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>1. Geographic Distance</w:t>
      </w:r>
    </w:p>
    <w:p w14:paraId="5224EDCF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Remote northern states (AM, RR, AP) lack road infrastructure</w:t>
      </w:r>
    </w:p>
    <w:p w14:paraId="6DC3F8B6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Heavy reliance on air/river freight increases delay risk</w:t>
      </w:r>
    </w:p>
    <w:p w14:paraId="12294825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AM breach rate significantly above national average</w:t>
      </w:r>
    </w:p>
    <w:p w14:paraId="54C167D1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AB8957E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>2. Product Weight &amp; Handling</w:t>
      </w:r>
    </w:p>
    <w:p w14:paraId="364BD113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Heavy products (5kg+) show disproportionately higher breach rates</w:t>
      </w:r>
    </w:p>
    <w:p w14:paraId="15A098A0" w14:textId="396DC03F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Audio category worst affected</w:t>
      </w:r>
      <w:r w:rsidR="00AA42C9">
        <w:rPr>
          <w:rFonts w:ascii="Times New Roman" w:hAnsi="Times New Roman" w:cs="Times New Roman"/>
          <w:sz w:val="20"/>
          <w:szCs w:val="20"/>
        </w:rPr>
        <w:t xml:space="preserve"> (</w:t>
      </w:r>
      <w:r w:rsidRPr="00AA42C9">
        <w:rPr>
          <w:rFonts w:ascii="Times New Roman" w:hAnsi="Times New Roman" w:cs="Times New Roman"/>
          <w:sz w:val="20"/>
          <w:szCs w:val="20"/>
        </w:rPr>
        <w:t>bulky, fragile, special handling needed</w:t>
      </w:r>
      <w:r w:rsidR="00AA42C9">
        <w:rPr>
          <w:rFonts w:ascii="Times New Roman" w:hAnsi="Times New Roman" w:cs="Times New Roman"/>
          <w:sz w:val="20"/>
          <w:szCs w:val="20"/>
        </w:rPr>
        <w:t>)</w:t>
      </w:r>
    </w:p>
    <w:p w14:paraId="4D0BF9FB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Weight directly correlates with delay days</w:t>
      </w:r>
    </w:p>
    <w:p w14:paraId="5F81F370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765070D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>3. Seller Accountability Gap</w:t>
      </w:r>
    </w:p>
    <w:p w14:paraId="19CC3EC3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Worst seller breach rate: 64.29%</w:t>
      </w:r>
    </w:p>
    <w:p w14:paraId="4B908BCA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- 1 in 13 orders from flagged sellers arrives late</w:t>
      </w:r>
    </w:p>
    <w:p w14:paraId="034FB321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No evidence of performance-based seller penalties</w:t>
      </w:r>
    </w:p>
    <w:p w14:paraId="2397BE4D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6C4421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>4. Seasonal Demand Surges</w:t>
      </w:r>
    </w:p>
    <w:p w14:paraId="477E5A4A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April (Easter) and November (Black Friday) show breach rate spikes</w:t>
      </w:r>
    </w:p>
    <w:p w14:paraId="555A9A7B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Logistics capacity not scaled to meet seasonal demand</w:t>
      </w:r>
    </w:p>
    <w:p w14:paraId="0FE5331C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E66527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>5. Day of Week Processing</w:t>
      </w:r>
    </w:p>
    <w:p w14:paraId="2FC37AE9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Monday orders show highest breach rate</w:t>
      </w:r>
    </w:p>
    <w:p w14:paraId="794F0C24" w14:textId="416B7433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- Weekend warehouse backlog delays processing </w:t>
      </w:r>
      <w:r w:rsidR="00AA42C9" w:rsidRPr="00AA42C9">
        <w:rPr>
          <w:rFonts w:ascii="Times New Roman" w:hAnsi="Times New Roman" w:cs="Times New Roman"/>
          <w:sz w:val="20"/>
          <w:szCs w:val="20"/>
        </w:rPr>
        <w:t>starts</w:t>
      </w:r>
      <w:r w:rsidR="00AA42C9">
        <w:rPr>
          <w:rFonts w:ascii="Times New Roman" w:hAnsi="Times New Roman" w:cs="Times New Roman"/>
          <w:sz w:val="20"/>
          <w:szCs w:val="20"/>
        </w:rPr>
        <w:t>.</w:t>
      </w:r>
    </w:p>
    <w:p w14:paraId="6891B690" w14:textId="77777777" w:rsidR="008238C2" w:rsidRPr="00AA42C9" w:rsidRDefault="008238C2" w:rsidP="008238C2">
      <w:pPr>
        <w:rPr>
          <w:rFonts w:ascii="Times New Roman" w:hAnsi="Times New Roman" w:cs="Times New Roman"/>
          <w:sz w:val="20"/>
          <w:szCs w:val="20"/>
        </w:rPr>
      </w:pPr>
    </w:p>
    <w:p w14:paraId="3915AB53" w14:textId="77777777" w:rsidR="008238C2" w:rsidRPr="00AA42C9" w:rsidRDefault="008238C2" w:rsidP="008238C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A42C9">
        <w:rPr>
          <w:rFonts w:ascii="Times New Roman" w:hAnsi="Times New Roman" w:cs="Times New Roman"/>
          <w:b/>
          <w:bCs/>
          <w:sz w:val="20"/>
          <w:szCs w:val="20"/>
        </w:rPr>
        <w:t>IMPACT CHAIN:</w:t>
      </w:r>
    </w:p>
    <w:p w14:paraId="0F5A500B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>Late Delivery → Lower Review Score (4.21 → 2.45)</w:t>
      </w:r>
    </w:p>
    <w:p w14:paraId="16BD7503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          → Revenue at Risk (R$ 1.08M / 8.24%)</w:t>
      </w:r>
    </w:p>
    <w:p w14:paraId="7D3EC4B6" w14:textId="77777777" w:rsidR="008238C2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          → Cancellations (R$ 95K lost)</w:t>
      </w:r>
    </w:p>
    <w:p w14:paraId="71A9BE93" w14:textId="6C0D650A" w:rsidR="00034A61" w:rsidRPr="00AA42C9" w:rsidRDefault="008238C2" w:rsidP="00AA42C9">
      <w:pPr>
        <w:jc w:val="both"/>
        <w:rPr>
          <w:rFonts w:ascii="Times New Roman" w:hAnsi="Times New Roman" w:cs="Times New Roman"/>
          <w:sz w:val="20"/>
          <w:szCs w:val="20"/>
        </w:rPr>
      </w:pPr>
      <w:r w:rsidRPr="00AA42C9">
        <w:rPr>
          <w:rFonts w:ascii="Times New Roman" w:hAnsi="Times New Roman" w:cs="Times New Roman"/>
          <w:sz w:val="20"/>
          <w:szCs w:val="20"/>
        </w:rPr>
        <w:t xml:space="preserve">             → Repeat purchase risk</w:t>
      </w:r>
    </w:p>
    <w:sectPr w:rsidR="00034A61" w:rsidRPr="00AA4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2"/>
    <w:rsid w:val="00010335"/>
    <w:rsid w:val="00034A61"/>
    <w:rsid w:val="00366F87"/>
    <w:rsid w:val="008238C2"/>
    <w:rsid w:val="00932D4D"/>
    <w:rsid w:val="00AA42C9"/>
    <w:rsid w:val="00CD7FA7"/>
    <w:rsid w:val="00EC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FE5A"/>
  <w15:chartTrackingRefBased/>
  <w15:docId w15:val="{737B1442-098F-4BFD-9D1F-1EA4F421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.</dc:creator>
  <cp:keywords/>
  <dc:description/>
  <cp:lastModifiedBy>Anirudh .</cp:lastModifiedBy>
  <cp:revision>2</cp:revision>
  <dcterms:created xsi:type="dcterms:W3CDTF">2026-06-20T09:31:00Z</dcterms:created>
  <dcterms:modified xsi:type="dcterms:W3CDTF">2026-06-22T18:56:00Z</dcterms:modified>
</cp:coreProperties>
</file>