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before="0" w:after="120"/>
        <w:jc w:val="both"/>
        <w:rPr/>
      </w:pPr>
      <w:r w:rsidDel="00000000" w:rsidR="00000000" w:rsidRPr="00000000">
        <w:rPr>
          <w:rFonts w:ascii="Times New Roman" w:cs="Arial" w:eastAsia="Arial" w:hAnsi="Times New Roman"/>
          <w:color w:val="333333"/>
          <w:sz w:val="24"/>
        </w:rPr>
        <w:drawing>
          <wp:inline distB="114300" distT="114300" distL="114300" distR="114300">
            <wp:extent cx="2714625" cy="11668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14625" cy="1166884"/>
                    </a:xfrm>
                    <a:prstGeom prst="rect"/>
                    <a:ln/>
                  </pic:spPr>
                </pic:pic>
              </a:graphicData>
            </a:graphic>
          </wp:inline>
        </w:drawing>
      </w:r>
      <w:r w:rsidDel="00000000" w:rsidR="00000000" w:rsidRPr="00000000">
        <w:rPr>
          <w:rFonts w:ascii="Times New Roman" w:cs="Times New Roman" w:eastAsia="Times New Roman" w:hAnsi="Times New Roman"/>
          <w:b w:val="1"/>
          <w:bCs w:val="1"/>
          <w:color w:val="333333"/>
          <w:sz w:val="24"/>
          <w:szCs w:val="32"/>
          <w:rtl w:val="0"/>
        </w:rPr>
        <w:br w:type="textWrapping"/>
        <w:t xml:space="preserve">Project Synopsis</w:t>
        <w:br w:type="textWrapping"/>
        <w:br w:type="textWrapping"/>
        <w:t xml:space="preserve">For</w:t>
        <w:br w:type="textWrapping"/>
      </w:r>
      <w:r w:rsidDel="00000000" w:rsidR="00000000" w:rsidRPr="00000000">
        <w:rPr>
          <w:rFonts w:ascii="Times New Roman" w:hAnsi="Times New Roman"/>
          <w:color w:val="333333"/>
          <w:sz w:val="24"/>
          <w:rtl w:val="0"/>
        </w:rPr>
      </w:r>
    </w:p>
    <w:p w:rsidR="00000000" w:rsidDel="00000000" w:rsidP="00000000" w:rsidRDefault="00000000" w:rsidRPr="00000000" w14:paraId="00000002">
      <w:pPr>
        <w:spacing w:after="120" w:before="0" w:lineRule="auto" w:line="276"/>
        <w:jc w:val="both"/>
        <w:rPr/>
      </w:pPr>
      <w:r w:rsidDel="00000000" w:rsidR="00000000" w:rsidRPr="00000000">
        <w:rPr>
          <w:rFonts w:ascii="Times New Roman" w:cs="Times New Roman" w:eastAsia="Times New Roman" w:hAnsi="Times New Roman"/>
          <w:b w:val="1"/>
          <w:bCs w:val="1"/>
          <w:color w:val="333333"/>
          <w:sz w:val="24"/>
          <w:szCs w:val="40"/>
          <w:rtl w:val="0"/>
        </w:rPr>
        <w:t xml:space="preserve">VITTIYA: AI-POWERED REAL-TIME FINANCIAL INTELLIGENCE, CAUSAL RISK ANALYTICS &amp; INSTITUTIONAL MARKET TERMINAL</w:t>
      </w:r>
      <w:r w:rsidDel="00000000" w:rsidR="00000000" w:rsidRPr="00000000">
        <w:rPr>
          <w:rFonts w:ascii="Times New Roman" w:hAnsi="Times New Roman"/>
          <w:color w:val="333333"/>
          <w:sz w:val="24"/>
          <w:rtl w:val="0"/>
        </w:rPr>
      </w:r>
    </w:p>
    <w:p w:rsidR="00000000" w:rsidDel="00000000" w:rsidP="00000000" w:rsidRDefault="00000000" w:rsidRPr="00000000" w14:paraId="00000003">
      <w:pPr>
        <w:spacing w:line="276" w:lineRule="auto" w:before="0" w:after="120"/>
        <w:jc w:val="both"/>
        <w:rPr/>
      </w:pPr>
      <w:r w:rsidDel="00000000" w:rsidR="00000000" w:rsidRPr="00000000">
        <w:rPr>
          <w:rFonts w:ascii="Times New Roman" w:cs="Times New Roman" w:eastAsia="Times New Roman" w:hAnsi="Times New Roman"/>
          <w:color w:val="333333"/>
          <w:sz w:val="24"/>
          <w:szCs w:val="24"/>
          <w:rtl w:val="0"/>
        </w:rPr>
        <w:t xml:space="preserve">Date: August 20, 2026</w:t>
        <w:br w:type="textWrapping"/>
        <w:br w:type="textWrapping"/>
        <w:t xml:space="preserve">Prepared by</w:t>
        <w:br w:type="textWrapping"/>
      </w:r>
      <w:r w:rsidDel="00000000" w:rsidR="00000000" w:rsidRPr="00000000">
        <w:rPr>
          <w:rFonts w:ascii="Times New Roman" w:hAnsi="Times New Roman"/>
          <w:color w:val="333333"/>
          <w:sz w:val="24"/>
          <w:rtl w:val="0"/>
        </w:rPr>
      </w:r>
    </w:p>
    <w:tbl>
      <w:tblPr>
        <w:tblStyle w:val="Table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04">
            <w:pPr>
              <w:rPr/>
            </w:pPr>
            <w:r w:rsidDel="00000000" w:rsidR="00000000" w:rsidRPr="00000000">
              <w:rPr>
                <w:rFonts w:ascii="Times New Roman" w:cs="Times New Roman" w:eastAsia="Times New Roman" w:hAnsi="Times New Roman"/>
                <w:sz w:val="20"/>
                <w:szCs w:val="20"/>
                <w:rtl w:val="0"/>
              </w:rPr>
              <w:t xml:space="preserve">Specialization</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Fonts w:ascii="Times New Roman" w:cs="Times New Roman" w:eastAsia="Times New Roman" w:hAnsi="Times New Roman"/>
                <w:sz w:val="20"/>
                <w:szCs w:val="20"/>
                <w:rtl w:val="0"/>
              </w:rPr>
              <w:t xml:space="preserve">SAP ID</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0"/>
                <w:szCs w:val="20"/>
                <w:rtl w:val="0"/>
              </w:rPr>
              <w:t xml:space="preserve">B.Tech CSE (Full Stack Development)</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sz w:val="20"/>
                <w:szCs w:val="20"/>
                <w:rtl w:val="0"/>
              </w:rPr>
              <w:t xml:space="preserve">500119692</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sz w:val="20"/>
                <w:szCs w:val="20"/>
                <w:rtl w:val="0"/>
              </w:rPr>
              <w:t xml:space="preserve">Anirudh Bhatt</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20"/>
                <w:szCs w:val="20"/>
                <w:rtl w:val="0"/>
              </w:rPr>
              <w:t xml:space="preserve">B.Tech CSE (Full Stack Development)</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sz w:val="20"/>
                <w:szCs w:val="20"/>
                <w:rtl w:val="0"/>
              </w:rPr>
              <w:t xml:space="preserve">500124212</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sz w:val="20"/>
                <w:szCs w:val="20"/>
                <w:rtl w:val="0"/>
              </w:rPr>
              <w:t xml:space="preserve">Himanshu Kadyan</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0"/>
                <w:szCs w:val="20"/>
                <w:rtl w:val="0"/>
              </w:rPr>
              <w:t xml:space="preserve">B.Tech CSE (Full Stack Development)</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sz w:val="20"/>
                <w:szCs w:val="20"/>
                <w:rtl w:val="0"/>
              </w:rPr>
              <w:t xml:space="preserve">500119414</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sz w:val="20"/>
                <w:szCs w:val="20"/>
                <w:rtl w:val="0"/>
              </w:rPr>
              <w:t xml:space="preserve">Ishita Pradhan</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sz w:val="20"/>
                <w:szCs w:val="20"/>
                <w:rtl w:val="0"/>
              </w:rPr>
              <w:t xml:space="preserve">B.Tech CSE (Full Stack Development)</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sz w:val="20"/>
                <w:szCs w:val="20"/>
                <w:rtl w:val="0"/>
              </w:rPr>
              <w:t xml:space="preserve">500124723</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sz w:val="20"/>
                <w:szCs w:val="20"/>
                <w:rtl w:val="0"/>
              </w:rPr>
              <w:t xml:space="preserve">Pranav Rai</w:t>
            </w:r>
            <w:r w:rsidDel="00000000" w:rsidR="00000000" w:rsidRPr="00000000">
              <w:rPr>
                <w:rtl w:val="0"/>
              </w:rPr>
            </w:r>
          </w:p>
        </w:tc>
      </w:tr>
    </w:tbl>
    <w:p w:rsidR="00000000" w:rsidDel="00000000" w:rsidP="00000000" w:rsidRDefault="00000000" w:rsidRPr="00000000" w14:paraId="00000013">
      <w:pPr>
        <w:spacing w:after="280" w:lineRule="auto"/>
        <w:rPr/>
      </w:pPr>
      <w:r w:rsidDel="00000000" w:rsidR="00000000" w:rsidRPr="00000000">
        <w:rPr>
          <w:rtl w:val="0"/>
        </w:rPr>
      </w:r>
    </w:p>
    <w:p w:rsidR="00000000" w:rsidDel="00000000" w:rsidP="00000000" w:rsidRDefault="00000000" w:rsidRPr="00000000" w14:paraId="00000014">
      <w:pPr>
        <w:spacing w:line="276" w:lineRule="auto" w:before="0" w:after="120"/>
        <w:jc w:val="both"/>
        <w:rPr/>
      </w:pPr>
      <w:r w:rsidDel="00000000" w:rsidR="00000000" w:rsidRPr="00000000">
        <w:rPr>
          <w:rFonts w:ascii="Times New Roman" w:cs="Times New Roman" w:eastAsia="Times New Roman" w:hAnsi="Times New Roman"/>
          <w:color w:val="333333"/>
          <w:sz w:val="24"/>
          <w:szCs w:val="24"/>
          <w:rtl w:val="0"/>
        </w:rPr>
        <w:t xml:space="preserve">Academic Mentor: Dr. Adeeb Mansoor Ansari</w:t>
        <w:br w:type="textWrapping"/>
        <w:t xml:space="preserve">Department of Computer Science &amp; Engineering</w:t>
        <w:br w:type="textWrapping"/>
        <w:br w:type="textWrapping"/>
        <w:t xml:space="preserve">School Of Computer Science</w:t>
        <w:br w:type="textWrapping"/>
        <w:t xml:space="preserve">UNIVERSITY OF PETROLEUM &amp; ENERGY STUDIES,</w:t>
        <w:br w:type="textWrapping"/>
        <w:t xml:space="preserve">DEHRADUN- 248007. Uttarakhand</w:t>
      </w:r>
      <w:r w:rsidDel="00000000" w:rsidR="00000000" w:rsidRPr="00000000">
        <w:rPr>
          <w:rFonts w:ascii="Times New Roman" w:hAnsi="Times New Roman"/>
          <w:color w:val="333333"/>
          <w:sz w:val="24"/>
          <w:rtl w:val="0"/>
        </w:rPr>
      </w:r>
    </w:p>
    <w:p w:rsidR="00000000" w:rsidDel="00000000" w:rsidP="00000000" w:rsidRDefault="00000000" w:rsidRPr="00000000" w14:paraId="00000015">
      <w:pPr>
        <w:keepNext/>
        <w:spacing w:line="276" w:lineRule="auto" w:before="320" w:after="120"/>
        <w:jc w:val="left"/>
        <w:rPr/>
      </w:pPr>
      <w:r w:rsidDel="00000000" w:rsidR="00000000" w:rsidRPr="00000000">
        <w:rPr>
          <w:rFonts w:ascii="Times New Roman" w:hAnsi="Times New Roman"/>
          <w:b/>
          <w:color w:val="002060"/>
          <w:sz w:val="28"/>
        </w:rPr>
        <w:br w:type="page"/>
      </w:r>
      <w:r w:rsidDel="00000000" w:rsidR="00000000" w:rsidRPr="00000000">
        <w:rPr>
          <w:rFonts w:ascii="Times New Roman" w:cs="Times New Roman" w:eastAsia="Times New Roman" w:hAnsi="Times New Roman"/>
          <w:b/>
          <w:bCs w:val="1"/>
          <w:color w:val="002060"/>
          <w:sz w:val="28"/>
          <w:szCs w:val="28"/>
          <w:rtl w:val="0"/>
        </w:rPr>
        <w:t xml:space="preserve">TABLE OF CONTENTS</w:t>
      </w:r>
      <w:r w:rsidDel="00000000" w:rsidR="00000000" w:rsidRPr="00000000">
        <w:rPr>
          <w:rFonts w:ascii="Times New Roman" w:hAnsi="Times New Roman"/>
          <w:b/>
          <w:color w:val="002060"/>
          <w:sz w:val="28"/>
          <w:rtl w:val="0"/>
        </w:rPr>
      </w:r>
    </w:p>
    <w:tbl>
      <w:tblPr>
        <w:tblStyle w:val="Table2"/>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sz w:val="20"/>
                <w:szCs w:val="20"/>
                <w:rtl w:val="0"/>
              </w:rPr>
              <w:t xml:space="preserve">Topic</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0"/>
                <w:szCs w:val="20"/>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20"/>
                <w:szCs w:val="20"/>
                <w:rtl w:val="0"/>
              </w:rPr>
              <w:t xml:space="preserve">Table of Content</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0"/>
                <w:szCs w:val="20"/>
                <w:rtl w:val="0"/>
              </w:rPr>
              <w:t xml:space="preserve">Revision History</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20"/>
                <w:szCs w:val="20"/>
                <w:rtl w:val="0"/>
              </w:rPr>
              <w:t xml:space="preserve">1 INTRODUCTION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20"/>
                <w:szCs w:val="20"/>
                <w:rtl w:val="0"/>
              </w:rPr>
              <w:t xml:space="preserve">  1.1 Purpose of the Project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0"/>
                <w:szCs w:val="20"/>
                <w:rtl w:val="0"/>
              </w:rPr>
              <w:t xml:space="preserve">  1.2 Target Beneficiary</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20"/>
                <w:szCs w:val="20"/>
                <w:rtl w:val="0"/>
              </w:rPr>
              <w:t xml:space="preserve">  1.3 Project Scope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20"/>
                <w:szCs w:val="20"/>
                <w:rtl w:val="0"/>
              </w:rPr>
              <w:t xml:space="preserve">  1.4 References</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20"/>
                <w:szCs w:val="20"/>
                <w:rtl w:val="0"/>
              </w:rPr>
              <w:t xml:space="preserve">2 PROJECT DESCRIPTION</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20"/>
                <w:szCs w:val="20"/>
                <w:rtl w:val="0"/>
              </w:rPr>
              <w:t xml:space="preserve">  2.1 Reference Algorithm</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0"/>
                <w:szCs w:val="20"/>
                <w:rtl w:val="0"/>
              </w:rPr>
              <w:t xml:space="preserve">  2.2 Characteristic of Data</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20"/>
                <w:szCs w:val="20"/>
                <w:rtl w:val="0"/>
              </w:rPr>
              <w:t xml:space="preserve">  2.3 SWOT Analysis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20"/>
                <w:szCs w:val="20"/>
                <w:rtl w:val="0"/>
              </w:rPr>
              <w:t xml:space="preserve">  2.4 Project Features</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0"/>
                <w:szCs w:val="20"/>
                <w:rtl w:val="0"/>
              </w:rPr>
              <w:t xml:space="preserve">  2.5 User Classes and Characteristics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0"/>
                <w:szCs w:val="20"/>
                <w:rtl w:val="0"/>
              </w:rPr>
              <w:t xml:space="preserve">  2.6 Design and Implementation Constraints</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0"/>
                <w:szCs w:val="20"/>
                <w:rtl w:val="0"/>
              </w:rPr>
              <w:t xml:space="preserve">  2.7 Design diagrams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0"/>
                <w:szCs w:val="20"/>
                <w:rtl w:val="0"/>
              </w:rPr>
              <w:t xml:space="preserve">  2.8 Assumption and Dependencies</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0"/>
                <w:szCs w:val="20"/>
                <w:rtl w:val="0"/>
              </w:rPr>
              <w:t xml:space="preserve">3 SYSTEM REQUIREMENTS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0"/>
                <w:szCs w:val="20"/>
                <w:rtl w:val="0"/>
              </w:rPr>
              <w:t xml:space="preserve">  3.1 User Interface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0"/>
                <w:szCs w:val="20"/>
                <w:rtl w:val="0"/>
              </w:rPr>
              <w:t xml:space="preserve">  3.2 Software Interface</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0"/>
                <w:szCs w:val="20"/>
                <w:rtl w:val="0"/>
              </w:rPr>
              <w:t xml:space="preserve">  3.3 Database Interface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0"/>
                <w:szCs w:val="20"/>
                <w:rtl w:val="0"/>
              </w:rPr>
              <w:t xml:space="preserve">  3.4 Protocols</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0"/>
                <w:szCs w:val="20"/>
                <w:rtl w:val="0"/>
              </w:rPr>
              <w:t xml:space="preserve">4 NON-FUNCTIONAL REQUIREMENTS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0"/>
                <w:szCs w:val="20"/>
                <w:rtl w:val="0"/>
              </w:rPr>
              <w:t xml:space="preserve">  4.1 Performance requirements</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0"/>
                <w:szCs w:val="20"/>
                <w:rtl w:val="0"/>
              </w:rPr>
              <w:t xml:space="preserve">  4.2 Security requirements</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0"/>
                <w:szCs w:val="20"/>
                <w:rtl w:val="0"/>
              </w:rPr>
              <w:t xml:space="preserve">  4.3 Software Quality Attributes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0"/>
                <w:szCs w:val="20"/>
                <w:rtl w:val="0"/>
              </w:rPr>
              <w:t xml:space="preserve">5 Other Requirements &amp; Future Work Prospects</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0"/>
                <w:szCs w:val="20"/>
                <w:rtl w:val="0"/>
              </w:rPr>
              <w:t xml:space="preserve">Appendix A: Glossary</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20"/>
                <w:szCs w:val="20"/>
                <w:rtl w:val="0"/>
              </w:rPr>
              <w:t xml:space="preserve">Appendix B: Analysis Model</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20"/>
                <w:szCs w:val="20"/>
                <w:rtl w:val="0"/>
              </w:rPr>
              <w:t xml:space="preserve">26</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20"/>
                <w:szCs w:val="20"/>
                <w:rtl w:val="0"/>
              </w:rPr>
              <w:t xml:space="preserve">Appendix C: Issues List</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r>
    </w:tbl>
    <w:p w:rsidR="00000000" w:rsidDel="00000000" w:rsidP="00000000" w:rsidRDefault="00000000" w:rsidRPr="00000000" w14:paraId="00000052">
      <w:pPr>
        <w:spacing w:after="120" w:lineRule="auto" w:line="276" w:before="0"/>
        <w:jc w:val="both"/>
        <w:rPr/>
      </w:pPr>
      <w:r w:rsidDel="00000000" w:rsidR="00000000" w:rsidRPr="00000000">
        <w:rPr>
          <w:rFonts w:ascii="Times New Roman" w:cs="Times New Roman" w:eastAsia="Times New Roman" w:hAnsi="Times New Roman"/>
          <w:i w:val="1"/>
          <w:iCs w:val="1"/>
          <w:color w:val="333333"/>
          <w:sz w:val="24"/>
          <w:szCs w:val="22"/>
          <w:rtl w:val="0"/>
        </w:rPr>
        <w:t xml:space="preserve">Table 1.1: System Document Table of Contents</w:t>
      </w:r>
      <w:r w:rsidDel="00000000" w:rsidR="00000000" w:rsidRPr="00000000">
        <w:rPr>
          <w:rFonts w:ascii="Times New Roman" w:hAnsi="Times New Roman"/>
          <w:color w:val="333333"/>
          <w:sz w:val="24"/>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keepNext/>
        <w:spacing w:after="120" w:before="320" w:lineRule="auto" w:line="276"/>
        <w:jc w:val="left"/>
        <w:rPr/>
      </w:pPr>
      <w:r w:rsidDel="00000000" w:rsidR="00000000" w:rsidRPr="00000000">
        <w:rPr>
          <w:rFonts w:ascii="Times New Roman" w:cs="Times New Roman" w:eastAsia="Times New Roman" w:hAnsi="Times New Roman"/>
          <w:b/>
          <w:bCs w:val="1"/>
          <w:color w:val="002060"/>
          <w:sz w:val="28"/>
          <w:szCs w:val="28"/>
          <w:rtl w:val="0"/>
        </w:rPr>
        <w:t xml:space="preserve">REVISION HISTORY</w:t>
      </w:r>
      <w:r w:rsidDel="00000000" w:rsidR="00000000" w:rsidRPr="00000000">
        <w:rPr>
          <w:rFonts w:ascii="Times New Roman" w:hAnsi="Times New Roman"/>
          <w:b/>
          <w:color w:val="002060"/>
          <w:sz w:val="28"/>
          <w:rtl w:val="0"/>
        </w:rPr>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20"/>
                <w:szCs w:val="20"/>
                <w:rtl w:val="0"/>
              </w:rPr>
              <w:t xml:space="preserve">Change</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20"/>
                <w:szCs w:val="20"/>
                <w:rtl w:val="0"/>
              </w:rPr>
              <w:t xml:space="preserve">Reason for Changes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20"/>
                <w:szCs w:val="20"/>
                <w:rtl w:val="0"/>
              </w:rPr>
              <w:t xml:space="preserve">Mentor Signature</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20"/>
                <w:szCs w:val="20"/>
                <w:rtl w:val="0"/>
              </w:rPr>
              <w:t xml:space="preserve">10-Aug-2026</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0"/>
                <w:szCs w:val="20"/>
                <w:rtl w:val="0"/>
              </w:rPr>
              <w:t xml:space="preserve">v1.0 - Initial SRS &amp; Architecture Specification</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20"/>
                <w:szCs w:val="20"/>
                <w:rtl w:val="0"/>
              </w:rPr>
              <w:t xml:space="preserve">Defined System Requirement Specification, Causal DAG equations &amp; layout.</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0"/>
                <w:szCs w:val="20"/>
                <w:rtl w:val="0"/>
              </w:rPr>
              <w:t xml:space="preserve">Dr. Adeeb Mansoor Ansari</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0"/>
                <w:szCs w:val="20"/>
                <w:rtl w:val="0"/>
              </w:rPr>
              <w:t xml:space="preserve">15-Aug-2026</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0"/>
                <w:szCs w:val="20"/>
                <w:rtl w:val="0"/>
              </w:rPr>
              <w:t xml:space="preserve">v1.5 - Market Engine &amp; String Sanitizer</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0"/>
                <w:szCs w:val="20"/>
                <w:rtl w:val="0"/>
              </w:rPr>
              <w:t xml:space="preserve">Added 8s Yahoo Finance REST polling streamer, regex numeric parser &amp; IST clock.</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0"/>
                <w:szCs w:val="20"/>
                <w:rtl w:val="0"/>
              </w:rPr>
              <w:t xml:space="preserve">Dr. Adeeb Mansoor Ansari</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0"/>
                <w:szCs w:val="20"/>
                <w:rtl w:val="0"/>
              </w:rPr>
              <w:t xml:space="preserve">20-Aug-2026</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20"/>
                <w:szCs w:val="20"/>
                <w:rtl w:val="0"/>
              </w:rPr>
              <w:t xml:space="preserve">v2.0 - Enterprise IPO &amp; Alert Bus Integration</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0"/>
                <w:szCs w:val="20"/>
                <w:rtl w:val="0"/>
              </w:rPr>
              <w:t xml:space="preserve">Integrated Chittorgarh verified IPO hub, Category Filter Bus &amp; Stock Profile Inspector.</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20"/>
                <w:szCs w:val="20"/>
                <w:rtl w:val="0"/>
              </w:rPr>
              <w:t xml:space="preserve">Dr. Adeeb Mansoor Ansari</w:t>
            </w:r>
            <w:r w:rsidDel="00000000" w:rsidR="00000000" w:rsidRPr="00000000">
              <w:rPr>
                <w:rtl w:val="0"/>
              </w:rPr>
            </w:r>
          </w:p>
        </w:tc>
      </w:tr>
    </w:tbl>
    <w:p w:rsidR="00000000" w:rsidDel="00000000" w:rsidP="00000000" w:rsidRDefault="00000000" w:rsidRPr="00000000" w14:paraId="00000065">
      <w:pPr>
        <w:spacing w:after="120" w:lineRule="auto" w:line="276" w:before="0"/>
        <w:jc w:val="both"/>
        <w:rPr/>
      </w:pPr>
      <w:r w:rsidDel="00000000" w:rsidR="00000000" w:rsidRPr="00000000">
        <w:rPr>
          <w:rFonts w:ascii="Times New Roman" w:cs="Times New Roman" w:eastAsia="Times New Roman" w:hAnsi="Times New Roman"/>
          <w:i w:val="1"/>
          <w:iCs w:val="1"/>
          <w:color w:val="333333"/>
          <w:sz w:val="24"/>
          <w:szCs w:val="22"/>
          <w:rtl w:val="0"/>
        </w:rPr>
        <w:t xml:space="preserve">Table 2.1: Project Revision History &amp; Approval Log</w:t>
      </w:r>
      <w:r w:rsidDel="00000000" w:rsidR="00000000" w:rsidRPr="00000000">
        <w:rPr>
          <w:rFonts w:ascii="Times New Roman" w:hAnsi="Times New Roman"/>
          <w:color w:val="333333"/>
          <w:sz w:val="24"/>
          <w:rtl w:val="0"/>
        </w:rPr>
      </w:r>
    </w:p>
    <w:p w:rsidR="00000000" w:rsidDel="00000000" w:rsidP="00000000" w:rsidRDefault="00000000" w:rsidRPr="00000000" w14:paraId="00000066">
      <w:pPr>
        <w:spacing w:after="240" w:lineRule="auto"/>
        <w:rPr/>
      </w:pPr>
      <w:r w:rsidDel="00000000" w:rsidR="00000000" w:rsidRPr="00000000">
        <w:rPr>
          <w:rtl w:val="0"/>
        </w:rPr>
      </w:r>
    </w:p>
    <w:p w:rsidR="00000000" w:rsidDel="00000000" w:rsidP="00000000" w:rsidRDefault="00000000" w:rsidRPr="00000000" w14:paraId="00000067">
      <w:pPr>
        <w:spacing w:after="28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8">
      <w:pPr>
        <w:spacing w:after="28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9">
      <w:pPr>
        <w:spacing w:after="28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A">
      <w:pPr>
        <w:spacing w:after="28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B">
      <w:pPr>
        <w:spacing w:after="28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C">
      <w:pPr>
        <w:spacing w:after="28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D">
      <w:pPr>
        <w:spacing w:after="28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E">
      <w:pPr>
        <w:spacing w:after="28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F">
      <w:pPr>
        <w:spacing w:after="28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0">
      <w:pPr>
        <w:keepNext w:val="1"/>
        <w:spacing w:after="120" w:before="3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br w:type="textWrapping"/>
      </w:r>
    </w:p>
    <w:p w:rsidR="00000000" w:rsidDel="00000000" w:rsidP="00000000" w:rsidRDefault="00000000" w:rsidRPr="00000000" w14:paraId="00000071">
      <w:pPr>
        <w:keepNext/>
        <w:spacing w:after="120" w:before="320" w:lineRule="auto" w:line="276"/>
        <w:jc w:val="left"/>
        <w:rPr/>
      </w:pPr>
      <w:r w:rsidDel="00000000" w:rsidR="00000000" w:rsidRPr="00000000">
        <w:rPr>
          <w:rFonts w:ascii="Times New Roman" w:cs="Times New Roman" w:eastAsia="Times New Roman" w:hAnsi="Times New Roman"/>
          <w:b/>
          <w:i w:val="1"/>
          <w:iCs w:val="1"/>
          <w:color w:val="002060"/>
          <w:sz w:val="28"/>
          <w:szCs w:val="20"/>
          <w:rtl w:val="0"/>
        </w:rPr>
        <w:br w:type="textWrapping"/>
      </w:r>
      <w:r w:rsidDel="00000000" w:rsidR="00000000" w:rsidRPr="00000000">
        <w:rPr>
          <w:rFonts w:ascii="Times New Roman" w:cs="Times New Roman" w:eastAsia="Times New Roman" w:hAnsi="Times New Roman"/>
          <w:b/>
          <w:bCs w:val="1"/>
          <w:color w:val="002060"/>
          <w:sz w:val="28"/>
          <w:szCs w:val="28"/>
          <w:rtl w:val="0"/>
        </w:rPr>
        <w:t xml:space="preserve">1. INTRODUCTION</w:t>
      </w:r>
      <w:r w:rsidDel="00000000" w:rsidR="00000000" w:rsidRPr="00000000">
        <w:rPr>
          <w:rFonts w:ascii="Times New Roman" w:hAnsi="Times New Roman"/>
          <w:b/>
          <w:color w:val="002060"/>
          <w:sz w:val="28"/>
          <w:rtl w:val="0"/>
        </w:rPr>
      </w:r>
    </w:p>
    <w:p w:rsidR="00000000" w:rsidDel="00000000" w:rsidP="00000000" w:rsidRDefault="00000000" w:rsidRPr="00000000" w14:paraId="00000072">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1.1 Purpose of the Project</w:t>
      </w:r>
      <w:r w:rsidDel="00000000" w:rsidR="00000000" w:rsidRPr="00000000">
        <w:rPr>
          <w:rFonts w:ascii="Times New Roman" w:hAnsi="Times New Roman"/>
          <w:b/>
          <w:color w:val="004080"/>
          <w:sz w:val="24"/>
          <w:rtl w:val="0"/>
        </w:rPr>
      </w:r>
    </w:p>
    <w:p w:rsidR="00000000" w:rsidDel="00000000" w:rsidP="00000000" w:rsidRDefault="00000000" w:rsidRPr="00000000" w14:paraId="00000073">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In modern global capital markets, retail and institutional market participants operate in an environment characterized by extreme data fragmentation, high-frequency price volatility, latent execution risks, and severe information asymmetry. Traditional retail web portals and financial tools frequently exhibit three critical systemic vulnerabilities:</w:t>
      </w:r>
      <w:r w:rsidDel="00000000" w:rsidR="00000000" w:rsidRPr="00000000">
        <w:rPr>
          <w:rFonts w:ascii="Times New Roman" w:hAnsi="Times New Roman"/>
          <w:color w:val="333333"/>
          <w:sz w:val="24"/>
          <w:rtl w:val="0"/>
        </w:rPr>
      </w:r>
    </w:p>
    <w:p w:rsidR="00000000" w:rsidDel="00000000" w:rsidP="00000000" w:rsidRDefault="00000000" w:rsidRPr="00000000" w14:paraId="00000074">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1. Data Latency &amp; Stale Feeds: Most free-tier financial applications rely on delayed 15-minute exchange updates or non-deterministic scraping routines. During sessions of heightened volatility, retail traders are forced to make capital allocation decisions based on obsolete market quotes, leading to execution slippage and unhedged drawdowns.</w:t>
      </w:r>
      <w:r w:rsidDel="00000000" w:rsidR="00000000" w:rsidRPr="00000000">
        <w:rPr>
          <w:rFonts w:ascii="Times New Roman" w:hAnsi="Times New Roman"/>
          <w:color w:val="333333"/>
          <w:sz w:val="24"/>
          <w:rtl w:val="0"/>
        </w:rPr>
      </w:r>
    </w:p>
    <w:p w:rsidR="00000000" w:rsidDel="00000000" w:rsidP="00000000" w:rsidRDefault="00000000" w:rsidRPr="00000000" w14:paraId="00000075">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2. Numerical String-Formatting Corruption: A widespread software defect in front-end financial interfaces arises when numerical price strings containing formatting delimiters (such as commas) are improperly evaluated. For example, executing standard floating-point conversion routines such as JavaScript `parseFloat("24,440.05")` causes the parser to truncate at the first non-numeric character (the comma), incorrectly returning a corrupted price of 24.0. In downstream trading interfaces, secondary intervals multiplying against this distorted baseline distort index values to corrupted numbers (e.g. Nifty 50 jumping to 249.96), creating catastrophic user error.</w:t>
      </w:r>
      <w:r w:rsidDel="00000000" w:rsidR="00000000" w:rsidRPr="00000000">
        <w:rPr>
          <w:rFonts w:ascii="Times New Roman" w:hAnsi="Times New Roman"/>
          <w:color w:val="333333"/>
          <w:sz w:val="24"/>
          <w:rtl w:val="0"/>
        </w:rPr>
      </w:r>
    </w:p>
    <w:p w:rsidR="00000000" w:rsidDel="00000000" w:rsidP="00000000" w:rsidRDefault="00000000" w:rsidRPr="00000000" w14:paraId="00000076">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3. Absence of Non-Linear Causal Risk Analytics: When a macroeconomic or geopolitical shock occurs—such as naval conflict escalations in key shipping straits or localized weather disruptions in agricultural belts—retail investors lack analytical frameworks to determine how first-order commodity price spikes ripple into second-order corporate margin compression and third-order systemic equity drawdowns. Traditional stock screeners evaluate assets in linear isolation, failing to model multi-order economic interdependencies.</w:t>
      </w:r>
      <w:r w:rsidDel="00000000" w:rsidR="00000000" w:rsidRPr="00000000">
        <w:rPr>
          <w:rFonts w:ascii="Times New Roman" w:hAnsi="Times New Roman"/>
          <w:color w:val="333333"/>
          <w:sz w:val="24"/>
          <w:rtl w:val="0"/>
        </w:rPr>
      </w:r>
    </w:p>
    <w:p w:rsidR="00000000" w:rsidDel="00000000" w:rsidP="00000000" w:rsidRDefault="00000000" w:rsidRPr="00000000" w14:paraId="00000077">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Project VITTIYA was engineered to directly overcome these structural challenges. VITTIYA is a full-stack, high-frequency financial market terminal, Directed Acyclic Graph (DAG) Causal Risk Engine, Chittorgarh real-time verified IPO tracking platform, and Generative Financial Reasoner. The system connects to Yahoo Finance v8 REST API endpoints via a resilient 8-second polling stream, executes regular-expression numerical sanitization before floating-point conversion, tracks ongoing and upcoming primary market IPOs with live Grey Market Premiums (GMP), and provides non-linear risk simulation capabilities.</w:t>
      </w:r>
      <w:r w:rsidDel="00000000" w:rsidR="00000000" w:rsidRPr="00000000">
        <w:rPr>
          <w:rFonts w:ascii="Times New Roman" w:hAnsi="Times New Roman"/>
          <w:color w:val="333333"/>
          <w:sz w:val="24"/>
          <w:rtl w:val="0"/>
        </w:rPr>
      </w:r>
    </w:p>
    <w:p w:rsidR="00000000" w:rsidDel="00000000" w:rsidP="00000000" w:rsidRDefault="00000000" w:rsidRPr="00000000" w14:paraId="00000078">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1.2 Target Beneficiary</w:t>
      </w:r>
      <w:r w:rsidDel="00000000" w:rsidR="00000000" w:rsidRPr="00000000">
        <w:rPr>
          <w:rFonts w:ascii="Times New Roman" w:hAnsi="Times New Roman"/>
          <w:b/>
          <w:color w:val="004080"/>
          <w:sz w:val="24"/>
          <w:rtl w:val="0"/>
        </w:rPr>
      </w:r>
    </w:p>
    <w:p w:rsidR="00000000" w:rsidDel="00000000" w:rsidP="00000000" w:rsidRDefault="00000000" w:rsidRPr="00000000" w14:paraId="00000079">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Project VITTIYA is architected to serve four distinct classes of financial market beneficiaries:</w:t>
      </w:r>
      <w:r w:rsidDel="00000000" w:rsidR="00000000" w:rsidRPr="00000000">
        <w:rPr>
          <w:rFonts w:ascii="Times New Roman" w:hAnsi="Times New Roman"/>
          <w:color w:val="333333"/>
          <w:sz w:val="24"/>
          <w:rtl w:val="0"/>
        </w:rPr>
      </w:r>
    </w:p>
    <w:p w:rsidR="00000000" w:rsidDel="00000000" w:rsidP="00000000" w:rsidRDefault="00000000" w:rsidRPr="00000000" w14:paraId="0000007A">
      <w:pPr>
        <w:spacing w:after="120" w:line="276" w:lineRule="auto" w:before="0"/>
        <w:jc w:val="both"/>
        <w:rPr/>
      </w:pPr>
      <w:r>
        <w:rPr>
          <w:rFonts w:ascii="Times New Roman" w:hAnsi="Times New Roman"/>
          <w:color w:val="333333"/>
          <w:sz w:val="24"/>
        </w:rPr>
        <w:t>1. Active Retail Equity &amp; Derivatives Traders: Individuals who require verified, uncorrupted real-time price updates for stock market indices (Nifty 50, BSE Sensex, Bank Nifty, FinNifty), equities, global commodities (Brent Crude, Gold), and foreign exchange pairs (USD/INR). VITTIYA provides live market depth bid/ask order books, interactive technical candlestick charts, and instantaneous tick direction indicators.</w:t>
      </w:r>
    </w:p>
    <w:p w:rsidR="00000000" w:rsidDel="00000000" w:rsidP="00000000" w:rsidRDefault="00000000" w:rsidRPr="00000000" w14:paraId="0000007B">
      <w:pPr>
        <w:spacing w:after="120" w:line="276" w:lineRule="auto" w:before="0"/>
        <w:jc w:val="both"/>
        <w:rPr/>
      </w:pPr>
      <w:r>
        <w:rPr>
          <w:rFonts w:ascii="Times New Roman" w:hAnsi="Times New Roman"/>
          <w:color w:val="333333"/>
          <w:sz w:val="24"/>
        </w:rPr>
        <w:t>2. Primary Market (IPO) Applicants &amp; Arbitrageurs: Individual, HNI (NII), and institutional investors seeking real-time subscription multipliers (QIB, NII, Retail), Grey Market Premium (GMP) expansion percentages, estimated listing price returns, allotment checking links, and official DRHP documentation across both Mainboard and SME exchanges.</w:t>
      </w:r>
    </w:p>
    <w:p w:rsidR="00000000" w:rsidDel="00000000" w:rsidP="00000000" w:rsidRDefault="00000000" w:rsidRPr="00000000" w14:paraId="0000007C">
      <w:pPr>
        <w:spacing w:after="120" w:line="276" w:lineRule="auto" w:before="0"/>
        <w:jc w:val="both"/>
        <w:rPr/>
      </w:pPr>
      <w:r>
        <w:rPr>
          <w:rFonts w:ascii="Times New Roman" w:hAnsi="Times New Roman"/>
          <w:color w:val="333333"/>
          <w:sz w:val="24"/>
        </w:rPr>
        <w:t>3. Enterprise Portfolio Managers &amp; Risk Officers: Financial risk managers who require non-linear simulation tools to stress-test equity portfolios against geopolitical flare-ups, crude oil supply shocks, and central bank interest rate adjustments.</w:t>
      </w:r>
    </w:p>
    <w:p w:rsidR="00000000" w:rsidDel="00000000" w:rsidP="00000000" w:rsidRDefault="00000000" w:rsidRPr="00000000" w14:paraId="0000007D">
      <w:pPr>
        <w:spacing w:after="120" w:line="276" w:lineRule="auto" w:before="0"/>
        <w:jc w:val="both"/>
        <w:rPr/>
      </w:pPr>
      <w:r>
        <w:rPr>
          <w:rFonts w:ascii="Times New Roman" w:hAnsi="Times New Roman"/>
          <w:color w:val="333333"/>
          <w:sz w:val="24"/>
        </w:rPr>
        <w:t>4. Quantitative Financial Analysts &amp; FinTech Researchers: Academics and quantitative data scientists who require structured sentiment scores, causal DAG propagation metrics, and multi-order ripple models for strategy backtesting.</w:t>
      </w:r>
    </w:p>
    <w:p w:rsidR="00000000" w:rsidDel="00000000" w:rsidP="00000000" w:rsidRDefault="00000000" w:rsidRPr="00000000" w14:paraId="0000007E">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1.3 Project Scope</w:t>
      </w:r>
      <w:r w:rsidDel="00000000" w:rsidR="00000000" w:rsidRPr="00000000">
        <w:rPr>
          <w:rFonts w:ascii="Times New Roman" w:hAnsi="Times New Roman"/>
          <w:b/>
          <w:color w:val="004080"/>
          <w:sz w:val="24"/>
          <w:rtl w:val="0"/>
        </w:rPr>
      </w:r>
    </w:p>
    <w:p w:rsidR="00000000" w:rsidDel="00000000" w:rsidP="00000000" w:rsidRDefault="00000000" w:rsidRPr="00000000" w14:paraId="0000007F">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The operational scope of project VITTIYA encompasses five integrated core software modules, delivered as a unified high-performance single-page web terminal:</w:t>
      </w:r>
      <w:r w:rsidDel="00000000" w:rsidR="00000000" w:rsidRPr="00000000">
        <w:rPr>
          <w:rFonts w:ascii="Times New Roman" w:hAnsi="Times New Roman"/>
          <w:color w:val="333333"/>
          <w:sz w:val="24"/>
          <w:rtl w:val="0"/>
        </w:rPr>
      </w:r>
    </w:p>
    <w:p w:rsidR="00000000" w:rsidDel="00000000" w:rsidP="00000000" w:rsidRDefault="00000000" w:rsidRPr="00000000" w14:paraId="00000080">
      <w:pPr>
        <w:spacing w:after="120" w:line="276" w:lineRule="auto" w:before="0"/>
        <w:jc w:val="both"/>
        <w:rPr/>
      </w:pPr>
      <w:r>
        <w:rPr>
          <w:rFonts w:ascii="Times New Roman" w:hAnsi="Times New Roman"/>
          <w:color w:val="333333"/>
          <w:sz w:val="24"/>
        </w:rPr>
        <w:t>a. Real-Time Market Ticker Streamer Engine: An asynchronous polling streamer executing every 8 seconds, fetching live market chart data from Yahoo Finance REST APIs via resilient public CORS proxies with 3500ms AbortSignal timeouts and regular-expression string sanitization.</w:t>
      </w:r>
    </w:p>
    <w:p w:rsidR="00000000" w:rsidDel="00000000" w:rsidP="00000000" w:rsidRDefault="00000000" w:rsidRPr="00000000" w14:paraId="00000081">
      <w:pPr>
        <w:spacing w:after="120" w:line="276" w:lineRule="auto" w:before="0"/>
        <w:jc w:val="both"/>
        <w:rPr/>
      </w:pPr>
      <w:r>
        <w:rPr>
          <w:rFonts w:ascii="Times New Roman" w:hAnsi="Times New Roman"/>
          <w:color w:val="333333"/>
          <w:sz w:val="24"/>
        </w:rPr>
        <w:t>b. Chittorgarh Verified IPO Dashboard: A comprehensive multi-tab interface categorized into Open Bidding, Closed/Listed, Upcoming, and Applied mainboard &amp; SME IPOs with live GMP tracking, listing gains calculations, subscription multipliers, and direct allotment checking links.</w:t>
      </w:r>
    </w:p>
    <w:p w:rsidR="00000000" w:rsidDel="00000000" w:rsidP="00000000" w:rsidRDefault="00000000" w:rsidRPr="00000000" w14:paraId="00000082">
      <w:pPr>
        <w:spacing w:after="120" w:line="276" w:lineRule="auto" w:before="0"/>
        <w:jc w:val="both"/>
        <w:rPr/>
      </w:pPr>
      <w:r>
        <w:rPr>
          <w:rFonts w:ascii="Times New Roman" w:hAnsi="Times New Roman"/>
          <w:color w:val="333333"/>
          <w:sz w:val="24"/>
        </w:rPr>
        <w:t>c. AI Causal Brain DAG Hub: An interactive graphical flow canvas that visualizes Directed Acyclic Graphs (DAGs) representing complex economic causality chains, enabling users to trace macro shock ripples across connected sector nodes.</w:t>
      </w:r>
    </w:p>
    <w:p w:rsidR="00000000" w:rsidDel="00000000" w:rsidP="00000000" w:rsidRDefault="00000000" w:rsidRPr="00000000" w14:paraId="00000083">
      <w:pPr>
        <w:spacing w:after="120" w:line="276" w:lineRule="auto" w:before="0"/>
        <w:jc w:val="both"/>
        <w:rPr/>
      </w:pPr>
      <w:r>
        <w:rPr>
          <w:rFonts w:ascii="Times New Roman" w:hAnsi="Times New Roman"/>
          <w:color w:val="333333"/>
          <w:sz w:val="24"/>
        </w:rPr>
        <w:t>d. Dynamic Stock Profile Inspector: A dedicated fundamental and technical analysis suite that dynamically builds corporate profiles, live candlestick charts, bid/ask depth order books, corporate actions, and split news feeds for any equity symbol.</w:t>
      </w:r>
    </w:p>
    <w:p>
      <w:pPr>
        <w:spacing w:before="240" w:after="80"/>
        <w:jc w:val="center"/>
      </w:pPr>
      <w:r>
        <w:drawing>
          <wp:inline>
            <wp:extent cx="5669280" cy="2814658"/>
            <wp:docPr id="2" name="Picture 2"/>
            <wp:cNvGraphicFramePr>
              <a:graphicFrameLocks noChangeAspect="1"/>
            </wp:cNvGraphicFramePr>
            <a:graphic>
              <a:graphicData uri="http://schemas.openxmlformats.org/drawingml/2006/picture">
                <pic:pic>
                  <pic:nvPicPr>
                    <pic:cNvPr id="0" name="diagram_1_system_architecture.png"/>
                    <pic:cNvPicPr/>
                  </pic:nvPicPr>
                  <pic:blipFill>
                    <a:blip r:embed="rId14"/>
                    <a:stretch>
                      <a:fillRect/>
                    </a:stretch>
                  </pic:blipFill>
                  <pic:spPr>
                    <a:xfrm>
                      <a:off x="0" y="0"/>
                      <a:ext cx="5669280" cy="2814658"/>
                    </a:xfrm>
                    <a:prstGeom prst="rect"/>
                  </pic:spPr>
                </pic:pic>
              </a:graphicData>
            </a:graphic>
          </wp:inline>
        </w:drawing>
      </w:r>
    </w:p>
    <w:p>
      <w:pPr>
        <w:spacing w:after="120" w:line="276" w:lineRule="auto" w:before="0"/>
        <w:jc w:val="both"/>
      </w:pPr>
      <w:r>
        <w:rPr>
          <w:rFonts w:ascii="Times New Roman" w:hAnsi="Times New Roman"/>
          <w:b/>
          <w:i/>
          <w:color w:val="333333"/>
          <w:sz w:val="24"/>
        </w:rPr>
        <w:t>Figure 1.1: VITTIYA AI — System Architecture &amp; Multi-Layer Data Flow Diagram</w:t>
      </w:r>
    </w:p>
    <w:p w:rsidR="00000000" w:rsidDel="00000000" w:rsidP="00000000" w:rsidRDefault="00000000" w:rsidRPr="00000000" w14:paraId="00000084">
      <w:pPr>
        <w:spacing w:after="120" w:line="276" w:lineRule="auto" w:before="0"/>
        <w:jc w:val="both"/>
        <w:rPr/>
      </w:pPr>
      <w:r>
        <w:rPr>
          <w:rFonts w:ascii="Times New Roman" w:hAnsi="Times New Roman"/>
          <w:color w:val="333333"/>
          <w:sz w:val="24"/>
        </w:rPr>
        <w:t>e. Enterprise Alert Bus &amp; Notification Hub: A glassmorphic popover alert center featuring category filter chips (All, Critical P1, AI Alerts, IPOs, Markets), urgency pills, sound notification toggles, and direct one-click tab navigation.</w:t>
      </w:r>
    </w:p>
    <w:p w:rsidR="00000000" w:rsidDel="00000000" w:rsidP="00000000" w:rsidRDefault="00000000" w:rsidRPr="00000000" w14:paraId="00000085">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1.4 References</w:t>
      </w:r>
      <w:r w:rsidDel="00000000" w:rsidR="00000000" w:rsidRPr="00000000">
        <w:rPr>
          <w:rFonts w:ascii="Times New Roman" w:hAnsi="Times New Roman"/>
          <w:b/>
          <w:color w:val="004080"/>
          <w:sz w:val="24"/>
          <w:rtl w:val="0"/>
        </w:rPr>
      </w:r>
    </w:p>
    <w:p w:rsidR="00000000" w:rsidDel="00000000" w:rsidP="00000000" w:rsidRDefault="00000000" w:rsidRPr="00000000" w14:paraId="00000086">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1. Yahoo Finance v8 Public REST API Specification &amp; Chart Endpoint Documentation (query1.finance.yahoo.com).</w:t>
      </w:r>
      <w:r w:rsidDel="00000000" w:rsidR="00000000" w:rsidRPr="00000000">
        <w:rPr>
          <w:rFonts w:ascii="Times New Roman" w:hAnsi="Times New Roman"/>
          <w:color w:val="333333"/>
          <w:sz w:val="24"/>
          <w:rtl w:val="0"/>
        </w:rPr>
      </w:r>
      <w:r>
        <w:rPr>
          <w:rFonts w:ascii="Times New Roman" w:hAnsi="Times New Roman"/>
          <w:color w:val="333333"/>
          <w:sz w:val="24"/>
        </w:rPr>
        <w:t xml:space="preserve"> — [Web Access Link: </w:t>
      </w:r>
      <w:hyperlink r:id="rId7">
        <w:r>
          <w:rPr>
            <w:color w:val="004080"/>
            <w:u w:val="single"/>
          </w:rPr>
          <w:t>https://query1.finance.yahoo.com/v8/finance/chart/</w:t>
        </w:r>
      </w:hyperlink>
      <w:r>
        <w:rPr>
          <w:rFonts w:ascii="Times New Roman" w:hAnsi="Times New Roman"/>
          <w:color w:val="333333"/>
          <w:sz w:val="24"/>
        </w:rPr>
        <w:t>]</w:t>
      </w:r>
      <w:r>
        <w:t xml:space="preserve"> — [Verified Link: </w:t>
      </w:r>
      <w:hyperlink r:id="rId17">
        <w:r>
          <w:rPr>
            <w:color w:val="004080"/>
            <w:u w:val="single"/>
          </w:rPr>
          <w:t>https://query1.finance.yahoo.com/v8/finance/chart/%5ENSEI</w:t>
        </w:r>
      </w:hyperlink>
      <w:r>
        <w:t>]</w:t>
      </w:r>
    </w:p>
    <w:p w:rsidR="00000000" w:rsidDel="00000000" w:rsidP="00000000" w:rsidRDefault="00000000" w:rsidRPr="00000000" w14:paraId="00000087">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2. Pearl, Judea. "Causal Inference in Statistics: A Primer." John Wiley &amp; Sons, 2016.</w:t>
      </w:r>
      <w:r w:rsidDel="00000000" w:rsidR="00000000" w:rsidRPr="00000000">
        <w:rPr>
          <w:rFonts w:ascii="Times New Roman" w:hAnsi="Times New Roman"/>
          <w:color w:val="333333"/>
          <w:sz w:val="24"/>
          <w:rtl w:val="0"/>
        </w:rPr>
      </w:r>
      <w:r>
        <w:rPr>
          <w:rFonts w:ascii="Times New Roman" w:hAnsi="Times New Roman"/>
          <w:color w:val="333333"/>
          <w:sz w:val="24"/>
        </w:rPr>
        <w:t xml:space="preserve"> — [Web Access Link: </w:t>
      </w:r>
      <w:hyperlink r:id="rId8">
        <w:r>
          <w:rPr>
            <w:color w:val="004080"/>
            <w:u w:val="single"/>
          </w:rPr>
          <w:t>https://doi.org/10.1002/9781119186847</w:t>
        </w:r>
      </w:hyperlink>
      <w:r>
        <w:rPr>
          <w:rFonts w:ascii="Times New Roman" w:hAnsi="Times New Roman"/>
          <w:color w:val="333333"/>
          <w:sz w:val="24"/>
        </w:rPr>
        <w:t>]</w:t>
      </w:r>
      <w:r>
        <w:t xml:space="preserve"> — [Verified Link: </w:t>
      </w:r>
      <w:hyperlink r:id="rId18">
        <w:r>
          <w:rPr>
            <w:color w:val="004080"/>
            <w:u w:val="single"/>
          </w:rPr>
          <w:t>https://www.wiley.com/en-us/Causal+Inference+in+Statistics%3A+A+Primer-p-9781119186847</w:t>
        </w:r>
      </w:hyperlink>
      <w:r>
        <w:t>]</w:t>
      </w:r>
    </w:p>
    <w:p w:rsidR="00000000" w:rsidDel="00000000" w:rsidP="00000000" w:rsidRDefault="00000000" w:rsidRPr="00000000" w14:paraId="00000088">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3. Markowitz, Harry. "Portfolio Selection." The Journal of Finance, vol. 7, no. 1, 1952, pp. 77–91.</w:t>
      </w:r>
      <w:r w:rsidDel="00000000" w:rsidR="00000000" w:rsidRPr="00000000">
        <w:rPr>
          <w:rFonts w:ascii="Times New Roman" w:hAnsi="Times New Roman"/>
          <w:color w:val="333333"/>
          <w:sz w:val="24"/>
          <w:rtl w:val="0"/>
        </w:rPr>
      </w:r>
      <w:r>
        <w:rPr>
          <w:rFonts w:ascii="Times New Roman" w:hAnsi="Times New Roman"/>
          <w:color w:val="333333"/>
          <w:sz w:val="24"/>
        </w:rPr>
        <w:t xml:space="preserve"> — [Web Access Link: </w:t>
      </w:r>
      <w:hyperlink r:id="rId9">
        <w:r>
          <w:rPr>
            <w:color w:val="004080"/>
            <w:u w:val="single"/>
          </w:rPr>
          <w:t>https://doi.org/10.1111/j.1540-6261.1952.tb01525.x</w:t>
        </w:r>
      </w:hyperlink>
      <w:r>
        <w:rPr>
          <w:rFonts w:ascii="Times New Roman" w:hAnsi="Times New Roman"/>
          <w:color w:val="333333"/>
          <w:sz w:val="24"/>
        </w:rPr>
        <w:t>]</w:t>
      </w:r>
      <w:r>
        <w:t xml:space="preserve"> — [Verified Link: </w:t>
      </w:r>
      <w:hyperlink r:id="rId19">
        <w:r>
          <w:rPr>
            <w:color w:val="004080"/>
            <w:u w:val="single"/>
          </w:rPr>
          <w:t>https://www.jstor.org/stable/2975974</w:t>
        </w:r>
      </w:hyperlink>
      <w:r>
        <w:t>]</w:t>
      </w:r>
    </w:p>
    <w:p w:rsidR="00000000" w:rsidDel="00000000" w:rsidP="00000000" w:rsidRDefault="00000000" w:rsidRPr="00000000" w14:paraId="00000089">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4. SEBI (Securities and Exchange Board of India) Issue of Capital and Disclosure Requirements (ICDR) Regulations, 2018.</w:t>
      </w:r>
      <w:r w:rsidDel="00000000" w:rsidR="00000000" w:rsidRPr="00000000">
        <w:rPr>
          <w:rFonts w:ascii="Times New Roman" w:hAnsi="Times New Roman"/>
          <w:color w:val="333333"/>
          <w:sz w:val="24"/>
          <w:rtl w:val="0"/>
        </w:rPr>
      </w:r>
      <w:r>
        <w:rPr>
          <w:rFonts w:ascii="Times New Roman" w:hAnsi="Times New Roman"/>
          <w:color w:val="333333"/>
          <w:sz w:val="24"/>
        </w:rPr>
        <w:t xml:space="preserve"> — [Web Access Link: </w:t>
      </w:r>
      <w:hyperlink r:id="rId10">
        <w:r>
          <w:rPr>
            <w:color w:val="004080"/>
            <w:u w:val="single"/>
          </w:rPr>
          <w:t>https://www.sebi.gov.in/legal/regulations/sep-2018/securities-and-exchange-board-of-india-issue-of-capital-and-disclosure-requirements-regulations-2018_40328.html</w:t>
        </w:r>
      </w:hyperlink>
      <w:r>
        <w:rPr>
          <w:rFonts w:ascii="Times New Roman" w:hAnsi="Times New Roman"/>
          <w:color w:val="333333"/>
          <w:sz w:val="24"/>
        </w:rPr>
        <w:t>]</w:t>
      </w:r>
      <w:r>
        <w:t xml:space="preserve"> — [Verified Link: </w:t>
      </w:r>
      <w:hyperlink r:id="rId20">
        <w:r>
          <w:rPr>
            <w:color w:val="004080"/>
            <w:u w:val="single"/>
          </w:rPr>
          <w:t>https://www.sebi.gov.in/sebiweb/home/HomeAction.do?doListing=yes&amp;sid=1&amp;ssid=7&amp;smid=0</w:t>
        </w:r>
      </w:hyperlink>
      <w:r>
        <w:t>]</w:t>
      </w:r>
    </w:p>
    <w:p w:rsidR="00000000" w:rsidDel="00000000" w:rsidP="00000000" w:rsidRDefault="00000000" w:rsidRPr="00000000" w14:paraId="0000008A">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5. Araci, Dogu. "FinBERT: Financial Sentiment Analysis with Pre-trained Language Models." arXiv preprint arXiv:1908.10063, 2019.</w:t>
      </w:r>
      <w:r w:rsidDel="00000000" w:rsidR="00000000" w:rsidRPr="00000000">
        <w:rPr>
          <w:rFonts w:ascii="Times New Roman" w:hAnsi="Times New Roman"/>
          <w:color w:val="333333"/>
          <w:sz w:val="24"/>
          <w:rtl w:val="0"/>
        </w:rPr>
      </w:r>
      <w:r>
        <w:rPr>
          <w:rFonts w:ascii="Times New Roman" w:hAnsi="Times New Roman"/>
          <w:color w:val="333333"/>
          <w:sz w:val="24"/>
        </w:rPr>
        <w:t xml:space="preserve"> — [Web Access Link: </w:t>
      </w:r>
      <w:hyperlink r:id="rId11">
        <w:r>
          <w:rPr>
            <w:color w:val="004080"/>
            <w:u w:val="single"/>
          </w:rPr>
          <w:t>https://arxiv.org/abs/1908.10063</w:t>
        </w:r>
      </w:hyperlink>
      <w:r>
        <w:rPr>
          <w:rFonts w:ascii="Times New Roman" w:hAnsi="Times New Roman"/>
          <w:color w:val="333333"/>
          <w:sz w:val="24"/>
        </w:rPr>
        <w:t>]</w:t>
      </w:r>
      <w:r>
        <w:t xml:space="preserve"> — [Verified Link: </w:t>
      </w:r>
      <w:hyperlink r:id="rId11">
        <w:r>
          <w:rPr>
            <w:color w:val="004080"/>
            <w:u w:val="single"/>
          </w:rPr>
          <w:t>https://arxiv.org/abs/1908.10063</w:t>
        </w:r>
      </w:hyperlink>
      <w:r>
        <w:t>]</w:t>
      </w:r>
    </w:p>
    <w:p w:rsidR="00000000" w:rsidDel="00000000" w:rsidP="00000000" w:rsidRDefault="00000000" w:rsidRPr="00000000" w14:paraId="0000008B">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6. Moneycontrol Pro &amp; Bloomberg Terminal Real-Time News &amp; Block Deal Wire Data Protocols.</w:t>
      </w:r>
      <w:r w:rsidDel="00000000" w:rsidR="00000000" w:rsidRPr="00000000">
        <w:rPr>
          <w:rFonts w:ascii="Times New Roman" w:hAnsi="Times New Roman"/>
          <w:color w:val="333333"/>
          <w:sz w:val="24"/>
          <w:rtl w:val="0"/>
        </w:rPr>
      </w:r>
      <w:r>
        <w:rPr>
          <w:rFonts w:ascii="Times New Roman" w:hAnsi="Times New Roman"/>
          <w:color w:val="333333"/>
          <w:sz w:val="24"/>
        </w:rPr>
        <w:t xml:space="preserve"> — [Web Access Link: </w:t>
      </w:r>
      <w:hyperlink r:id="rId12">
        <w:r>
          <w:rPr>
            <w:color w:val="004080"/>
            <w:u w:val="single"/>
          </w:rPr>
          <w:t>https://www.moneycontrol.com</w:t>
        </w:r>
      </w:hyperlink>
      <w:r>
        <w:rPr>
          <w:rFonts w:ascii="Times New Roman" w:hAnsi="Times New Roman"/>
          <w:color w:val="333333"/>
          <w:sz w:val="24"/>
        </w:rPr>
        <w:t>]</w:t>
      </w:r>
      <w:r>
        <w:t xml:space="preserve"> — [Verified Link: </w:t>
      </w:r>
      <w:hyperlink r:id="rId12">
        <w:r>
          <w:rPr>
            <w:color w:val="004080"/>
            <w:u w:val="single"/>
          </w:rPr>
          <w:t>https://www.moneycontrol.com</w:t>
        </w:r>
      </w:hyperlink>
      <w:r>
        <w:t>]</w:t>
      </w:r>
    </w:p>
    <w:p w:rsidR="00000000" w:rsidDel="00000000" w:rsidP="00000000" w:rsidRDefault="00000000" w:rsidRPr="00000000" w14:paraId="0000008C">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7. React 18 &amp; Vite 8 Single Page Application Architecture Guidelines, Meta Open Source.</w:t>
      </w:r>
      <w:r w:rsidDel="00000000" w:rsidR="00000000" w:rsidRPr="00000000">
        <w:rPr>
          <w:rFonts w:ascii="Times New Roman" w:hAnsi="Times New Roman"/>
          <w:color w:val="333333"/>
          <w:sz w:val="24"/>
          <w:rtl w:val="0"/>
        </w:rPr>
      </w:r>
      <w:r>
        <w:rPr>
          <w:rFonts w:ascii="Times New Roman" w:hAnsi="Times New Roman"/>
          <w:color w:val="333333"/>
          <w:sz w:val="24"/>
        </w:rPr>
        <w:t xml:space="preserve"> — [Web Access Link: </w:t>
      </w:r>
      <w:hyperlink r:id="rId13">
        <w:r>
          <w:rPr>
            <w:color w:val="004080"/>
            <w:u w:val="single"/>
          </w:rPr>
          <w:t>https://react.dev/</w:t>
        </w:r>
      </w:hyperlink>
      <w:r>
        <w:rPr>
          <w:rFonts w:ascii="Times New Roman" w:hAnsi="Times New Roman"/>
          <w:color w:val="333333"/>
          <w:sz w:val="24"/>
        </w:rPr>
        <w:t>]</w:t>
      </w:r>
      <w:r>
        <w:t xml:space="preserve"> — [Verified Link: </w:t>
      </w:r>
      <w:hyperlink r:id="rId13">
        <w:r>
          <w:rPr>
            <w:color w:val="004080"/>
            <w:u w:val="single"/>
          </w:rPr>
          <w:t>https://react.dev/</w:t>
        </w:r>
      </w:hyperlink>
      <w:r>
        <w:t>]</w:t>
      </w:r>
    </w:p>
    <w:p w:rsidR="00000000" w:rsidDel="00000000" w:rsidP="00000000" w:rsidRDefault="00000000" w:rsidRPr="00000000" w14:paraId="0000008D">
      <w:pPr>
        <w:keepNext/>
        <w:spacing w:after="120" w:before="320" w:lineRule="auto" w:line="276"/>
        <w:jc w:val="left"/>
        <w:rPr/>
      </w:pPr>
      <w:r w:rsidDel="00000000" w:rsidR="00000000" w:rsidRPr="00000000">
        <w:rPr>
          <w:rFonts w:ascii="Times New Roman" w:cs="Times New Roman" w:eastAsia="Times New Roman" w:hAnsi="Times New Roman"/>
          <w:b/>
          <w:bCs w:val="1"/>
          <w:color w:val="002060"/>
          <w:sz w:val="28"/>
          <w:szCs w:val="28"/>
          <w:rtl w:val="0"/>
        </w:rPr>
        <w:t xml:space="preserve">2. PROJECT DESCRIPTION</w:t>
      </w:r>
      <w:r w:rsidDel="00000000" w:rsidR="00000000" w:rsidRPr="00000000">
        <w:rPr>
          <w:rFonts w:ascii="Times New Roman" w:hAnsi="Times New Roman"/>
          <w:b/>
          <w:color w:val="002060"/>
          <w:sz w:val="28"/>
          <w:rtl w:val="0"/>
        </w:rPr>
      </w:r>
    </w:p>
    <w:p>
      <w:pPr>
        <w:spacing w:before="280" w:after="80"/>
        <w:jc w:val="center"/>
      </w:pPr>
      <w:r>
        <w:drawing>
          <wp:inline>
            <wp:extent cx="5669280" cy="3149600"/>
            <wp:docPr id="5" name="Picture 5"/>
            <wp:cNvGraphicFramePr>
              <a:graphicFrameLocks noChangeAspect="1"/>
            </wp:cNvGraphicFramePr>
            <a:graphic>
              <a:graphicData uri="http://schemas.openxmlformats.org/drawingml/2006/picture">
                <pic:pic>
                  <pic:nvPicPr>
                    <pic:cNvPr id="0" name="methodology_flowchart.png"/>
                    <pic:cNvPicPr/>
                  </pic:nvPicPr>
                  <pic:blipFill>
                    <a:blip r:embed="rId21"/>
                    <a:stretch>
                      <a:fillRect/>
                    </a:stretch>
                  </pic:blipFill>
                  <pic:spPr>
                    <a:xfrm>
                      <a:off x="0" y="0"/>
                      <a:ext cx="5669280" cy="3149600"/>
                    </a:xfrm>
                    <a:prstGeom prst="rect"/>
                  </pic:spPr>
                </pic:pic>
              </a:graphicData>
            </a:graphic>
          </wp:inline>
        </w:drawing>
      </w:r>
    </w:p>
    <w:p>
      <w:pPr>
        <w:spacing w:after="280"/>
        <w:jc w:val="center"/>
      </w:pPr>
      <w:r>
        <w:rPr>
          <w:rFonts w:ascii="Times New Roman" w:hAnsi="Times New Roman"/>
          <w:b/>
          <w:i/>
          <w:color w:val="002060"/>
          <w:sz w:val="21"/>
        </w:rPr>
        <w:t>Figure 2.1: VITTIYA AI — System Methodology Flowchart (6 Integrated Engineering Stages)</w:t>
      </w:r>
    </w:p>
    <w:p w:rsidR="00000000" w:rsidDel="00000000" w:rsidP="00000000" w:rsidRDefault="00000000" w:rsidRPr="00000000" w14:paraId="0000008E">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2.1 Reference Algorithm</w:t>
      </w:r>
      <w:r w:rsidDel="00000000" w:rsidR="00000000" w:rsidRPr="00000000">
        <w:rPr>
          <w:rFonts w:ascii="Times New Roman" w:hAnsi="Times New Roman"/>
          <w:b/>
          <w:color w:val="004080"/>
          <w:sz w:val="24"/>
          <w:rtl w:val="0"/>
        </w:rPr>
      </w:r>
    </w:p>
    <w:p w:rsidR="00000000" w:rsidDel="00000000" w:rsidP="00000000" w:rsidRDefault="00000000" w:rsidRPr="00000000" w14:paraId="0000008F">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The technical core of VITTIYA relies on four core mathematical and algorithmic foundations:</w:t>
      </w:r>
      <w:r w:rsidDel="00000000" w:rsidR="00000000" w:rsidRPr="00000000">
        <w:rPr>
          <w:rFonts w:ascii="Times New Roman" w:hAnsi="Times New Roman"/>
          <w:color w:val="333333"/>
          <w:sz w:val="24"/>
          <w:rtl w:val="0"/>
        </w:rPr>
      </w:r>
    </w:p>
    <w:p w:rsidR="00000000" w:rsidDel="00000000" w:rsidP="00000000" w:rsidRDefault="00000000" w:rsidRPr="00000000" w14:paraId="00000090">
      <w:pPr>
        <w:keepNext/>
        <w:spacing w:after="80" w:before="200" w:lineRule="auto" w:line="276"/>
        <w:jc w:val="left"/>
        <w:rPr/>
      </w:pPr>
      <w:r w:rsidDel="00000000" w:rsidR="00000000" w:rsidRPr="00000000">
        <w:rPr>
          <w:rFonts w:ascii="Times New Roman" w:cs="Times New Roman" w:eastAsia="Times New Roman" w:hAnsi="Times New Roman"/>
          <w:b/>
          <w:bCs w:val="1"/>
          <w:i w:val="1"/>
          <w:iCs w:val="1"/>
          <w:sz w:val="24"/>
          <w:szCs w:val="24"/>
          <w:u w:val="single"/>
          <w:rtl w:val="0"/>
        </w:rPr>
        <w:t xml:space="preserve">2.1.1 Topological Sort Causal DAG Propagation Algorithm</w:t>
      </w:r>
      <w:r w:rsidDel="00000000" w:rsidR="00000000" w:rsidRPr="00000000">
        <w:rPr>
          <w:rFonts w:ascii="Times New Roman" w:hAnsi="Times New Roman"/>
          <w:b/>
          <w:sz w:val="24"/>
          <w:u w:val="single"/>
          <w:rtl w:val="0"/>
        </w:rPr>
      </w:r>
    </w:p>
    <w:p w:rsidR="00000000" w:rsidDel="00000000" w:rsidP="00000000" w:rsidRDefault="00000000" w:rsidRPr="00000000" w14:paraId="00000091">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To model how macroeconomic shocks propagate through interconnected asset classes without infinite feedback loops, VITTIYA models the market network as a Directed Acyclic Graph G = (V, E), where V represents financial nodes (events, commodities, industries, portfolio holdings) and E represents directional causal relationships. The impact score I_u for any target node u in V is calculated via topological propagation:</w:t>
      </w:r>
      <w:r w:rsidDel="00000000" w:rsidR="00000000" w:rsidRPr="00000000">
        <w:rPr>
          <w:rFonts w:ascii="Times New Roman" w:hAnsi="Times New Roman"/>
          <w:color w:val="333333"/>
          <w:sz w:val="24"/>
          <w:rtl w:val="0"/>
        </w:rPr>
      </w:r>
    </w:p>
    <w:p w:rsidR="00000000" w:rsidDel="00000000" w:rsidP="00000000" w:rsidRDefault="00000000" w:rsidRPr="00000000" w14:paraId="00000092">
      <w:pPr>
        <w:spacing w:after="120" w:line="276" w:lineRule="auto" w:before="0"/>
        <w:jc w:val="both"/>
        <w:rPr/>
      </w:pPr>
      <w:r w:rsidDel="00000000" w:rsidR="00000000" w:rsidRPr="00000000">
        <w:rPr>
          <w:rFonts w:ascii="Times New Roman" w:cs="Times New Roman" w:eastAsia="Times New Roman" w:hAnsi="Times New Roman"/>
          <w:b w:val="1"/>
          <w:bCs w:val="1"/>
          <w:color w:val="333333"/>
          <w:sz w:val="24"/>
          <w:szCs w:val="24"/>
          <w:rtl w:val="0"/>
        </w:rPr>
        <w:t xml:space="preserve">Equation 2.1: </w:t>
      </w:r>
      <w:r w:rsidDel="00000000" w:rsidR="00000000" w:rsidRPr="00000000">
        <w:rPr>
          <w:rFonts w:ascii="Times New Roman" w:cs="Times New Roman" w:eastAsia="Times New Roman" w:hAnsi="Times New Roman"/>
          <w:color w:val="333333"/>
          <w:sz w:val="24"/>
          <w:szCs w:val="24"/>
          <w:rtl w:val="0"/>
        </w:rPr>
        <w:t xml:space="preserve">I_u = SUM_{v in Parent(u)} ( I_v * Weight_{v -&gt; u} * Confidence_v * Severity_trigger )</w:t>
      </w:r>
      <w:r w:rsidDel="00000000" w:rsidR="00000000" w:rsidRPr="00000000">
        <w:rPr>
          <w:rFonts w:ascii="Times New Roman" w:hAnsi="Times New Roman"/>
          <w:color w:val="333333"/>
          <w:sz w:val="24"/>
          <w:rtl w:val="0"/>
        </w:rPr>
      </w:r>
    </w:p>
    <w:p>
      <w:pPr>
        <w:spacing w:before="240" w:after="80"/>
        <w:jc w:val="center"/>
      </w:pPr>
      <w:r>
        <w:drawing>
          <wp:inline>
            <wp:extent cx="5669280" cy="2814658"/>
            <wp:docPr id="3" name="Picture 3"/>
            <wp:cNvGraphicFramePr>
              <a:graphicFrameLocks noChangeAspect="1"/>
            </wp:cNvGraphicFramePr>
            <a:graphic>
              <a:graphicData uri="http://schemas.openxmlformats.org/drawingml/2006/picture">
                <pic:pic>
                  <pic:nvPicPr>
                    <pic:cNvPr id="0" name="diagram_2_causal_dag.png"/>
                    <pic:cNvPicPr/>
                  </pic:nvPicPr>
                  <pic:blipFill>
                    <a:blip r:embed="rId15"/>
                    <a:stretch>
                      <a:fillRect/>
                    </a:stretch>
                  </pic:blipFill>
                  <pic:spPr>
                    <a:xfrm>
                      <a:off x="0" y="0"/>
                      <a:ext cx="5669280" cy="2814658"/>
                    </a:xfrm>
                    <a:prstGeom prst="rect"/>
                  </pic:spPr>
                </pic:pic>
              </a:graphicData>
            </a:graphic>
          </wp:inline>
        </w:drawing>
      </w:r>
    </w:p>
    <w:p>
      <w:pPr>
        <w:spacing w:after="120" w:line="276" w:lineRule="auto" w:before="0"/>
        <w:jc w:val="both"/>
      </w:pPr>
      <w:r>
        <w:rPr>
          <w:rFonts w:ascii="Times New Roman" w:hAnsi="Times New Roman"/>
          <w:b/>
          <w:i/>
          <w:color w:val="333333"/>
          <w:sz w:val="24"/>
        </w:rPr>
        <w:t>Figure 2.1: Topological Causal DAG Shock Propagation Engine &amp; Multi-Tier Node Ripples</w:t>
      </w:r>
    </w:p>
    <w:p w:rsidR="00000000" w:rsidDel="00000000" w:rsidP="00000000" w:rsidRDefault="00000000" w:rsidRPr="00000000" w14:paraId="00000093">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Where I_v is the incoming shock value of parent node v, Weight_{v -&gt; u} is the structural coupling weight between node v and u, Confidence_v is the confidence probability score of the source event, and Severity_trigger is the normalized magnitude of the primary macro event.</w:t>
      </w:r>
      <w:r w:rsidDel="00000000" w:rsidR="00000000" w:rsidRPr="00000000">
        <w:rPr>
          <w:rFonts w:ascii="Times New Roman" w:hAnsi="Times New Roman"/>
          <w:color w:val="333333"/>
          <w:sz w:val="24"/>
          <w:rtl w:val="0"/>
        </w:rPr>
      </w:r>
    </w:p>
    <w:p w:rsidR="00000000" w:rsidDel="00000000" w:rsidP="00000000" w:rsidRDefault="00000000" w:rsidRPr="00000000" w14:paraId="00000094">
      <w:pPr>
        <w:keepNext/>
        <w:spacing w:after="80" w:before="200" w:lineRule="auto" w:line="276"/>
        <w:jc w:val="left"/>
        <w:rPr/>
      </w:pPr>
      <w:r w:rsidDel="00000000" w:rsidR="00000000" w:rsidRPr="00000000">
        <w:rPr>
          <w:rFonts w:ascii="Times New Roman" w:cs="Times New Roman" w:eastAsia="Times New Roman" w:hAnsi="Times New Roman"/>
          <w:b/>
          <w:bCs w:val="1"/>
          <w:i w:val="1"/>
          <w:iCs w:val="1"/>
          <w:sz w:val="24"/>
          <w:szCs w:val="24"/>
          <w:u w:val="single"/>
          <w:rtl w:val="0"/>
        </w:rPr>
        <w:t xml:space="preserve">2.1.2 Sanitize-and-Parse (SAP) Numerical Engine</w:t>
      </w:r>
      <w:r w:rsidDel="00000000" w:rsidR="00000000" w:rsidRPr="00000000">
        <w:rPr>
          <w:rFonts w:ascii="Times New Roman" w:hAnsi="Times New Roman"/>
          <w:b/>
          <w:sz w:val="24"/>
          <w:u w:val="single"/>
          <w:rtl w:val="0"/>
        </w:rPr>
      </w:r>
    </w:p>
    <w:p w:rsidR="00000000" w:rsidDel="00000000" w:rsidP="00000000" w:rsidRDefault="00000000" w:rsidRPr="00000000" w14:paraId="00000095">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To eliminate price distortion bugs caused by localized string formatting (e.g. commas in numerical strings), incoming API payloads are processed through a strict regular expression sanitization pipeline before IEEE 754 floating-point evaluation:</w:t>
      </w:r>
      <w:r w:rsidDel="00000000" w:rsidR="00000000" w:rsidRPr="00000000">
        <w:rPr>
          <w:rFonts w:ascii="Times New Roman" w:hAnsi="Times New Roman"/>
          <w:color w:val="333333"/>
          <w:sz w:val="24"/>
          <w:rtl w:val="0"/>
        </w:rPr>
      </w:r>
    </w:p>
    <w:p w:rsidR="00000000" w:rsidDel="00000000" w:rsidP="00000000" w:rsidRDefault="00000000" w:rsidRPr="00000000" w14:paraId="00000096">
      <w:pPr>
        <w:spacing w:after="120" w:line="276" w:lineRule="auto" w:before="0"/>
        <w:jc w:val="both"/>
        <w:rPr/>
      </w:pPr>
      <w:r w:rsidDel="00000000" w:rsidR="00000000" w:rsidRPr="00000000">
        <w:rPr>
          <w:rFonts w:ascii="Times New Roman" w:cs="Times New Roman" w:eastAsia="Times New Roman" w:hAnsi="Times New Roman"/>
          <w:b w:val="1"/>
          <w:bCs w:val="1"/>
          <w:color w:val="333333"/>
          <w:sz w:val="24"/>
          <w:szCs w:val="24"/>
          <w:rtl w:val="0"/>
        </w:rPr>
        <w:t xml:space="preserve">Equation 2.2: </w:t>
      </w:r>
      <w:r w:rsidDel="00000000" w:rsidR="00000000" w:rsidRPr="00000000">
        <w:rPr>
          <w:rFonts w:ascii="Times New Roman" w:cs="Times New Roman" w:eastAsia="Times New Roman" w:hAnsi="Times New Roman"/>
          <w:color w:val="333333"/>
          <w:sz w:val="24"/>
          <w:szCs w:val="24"/>
          <w:rtl w:val="0"/>
        </w:rPr>
        <w:t xml:space="preserve">P_clean = parseFloat( P_raw.toString().replace(/,/g, "").replace(/[^0-9.]/g, "") )</w:t>
      </w:r>
      <w:r w:rsidDel="00000000" w:rsidR="00000000" w:rsidRPr="00000000">
        <w:rPr>
          <w:rFonts w:ascii="Times New Roman" w:hAnsi="Times New Roman"/>
          <w:color w:val="333333"/>
          <w:sz w:val="24"/>
          <w:rtl w:val="0"/>
        </w:rPr>
      </w:r>
    </w:p>
    <w:p w:rsidR="00000000" w:rsidDel="00000000" w:rsidP="00000000" w:rsidRDefault="00000000" w:rsidRPr="00000000" w14:paraId="00000097">
      <w:pPr>
        <w:keepNext/>
        <w:spacing w:after="80" w:before="200" w:lineRule="auto" w:line="276"/>
        <w:jc w:val="left"/>
        <w:rPr/>
      </w:pPr>
      <w:r w:rsidDel="00000000" w:rsidR="00000000" w:rsidRPr="00000000">
        <w:rPr>
          <w:rFonts w:ascii="Times New Roman" w:cs="Times New Roman" w:eastAsia="Times New Roman" w:hAnsi="Times New Roman"/>
          <w:b/>
          <w:bCs w:val="1"/>
          <w:i w:val="1"/>
          <w:iCs w:val="1"/>
          <w:sz w:val="24"/>
          <w:szCs w:val="24"/>
          <w:u w:val="single"/>
          <w:rtl w:val="0"/>
        </w:rPr>
        <w:t xml:space="preserve">2.1.3 Dynamic IST Market Operating Clock Algorithm</w:t>
      </w:r>
      <w:r w:rsidDel="00000000" w:rsidR="00000000" w:rsidRPr="00000000">
        <w:rPr>
          <w:rFonts w:ascii="Times New Roman" w:hAnsi="Times New Roman"/>
          <w:b/>
          <w:sz w:val="24"/>
          <w:u w:val="single"/>
          <w:rtl w:val="0"/>
        </w:rPr>
      </w:r>
    </w:p>
    <w:p w:rsidR="00000000" w:rsidDel="00000000" w:rsidP="00000000" w:rsidRDefault="00000000" w:rsidRPr="00000000" w14:paraId="00000098">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The Indian Standard Time (IST = UTC + 5:30) operating clock dynamically determines whether the National Stock Exchange (NSE) and Bombay Stock Exchange (BSE) are actively trading. It evaluates UTC timestamp offsets against the trading window (09:15 AM to 03:30 PM IST, Monday through Friday), automatically toggling the UI header badge between "NSE / BSE LIVE" and "NSE CLOSED (Opens 09:15 AM IST)".</w:t>
      </w:r>
      <w:r w:rsidDel="00000000" w:rsidR="00000000" w:rsidRPr="00000000">
        <w:rPr>
          <w:rFonts w:ascii="Times New Roman" w:hAnsi="Times New Roman"/>
          <w:color w:val="333333"/>
          <w:sz w:val="24"/>
          <w:rtl w:val="0"/>
        </w:rPr>
      </w:r>
    </w:p>
    <w:p w:rsidR="00000000" w:rsidDel="00000000" w:rsidP="00000000" w:rsidRDefault="00000000" w:rsidRPr="00000000" w14:paraId="00000099">
      <w:pPr>
        <w:keepNext/>
        <w:spacing w:after="80" w:before="200" w:lineRule="auto" w:line="276"/>
        <w:jc w:val="left"/>
        <w:rPr/>
      </w:pPr>
      <w:r w:rsidDel="00000000" w:rsidR="00000000" w:rsidRPr="00000000">
        <w:rPr>
          <w:rFonts w:ascii="Times New Roman" w:cs="Times New Roman" w:eastAsia="Times New Roman" w:hAnsi="Times New Roman"/>
          <w:b/>
          <w:bCs w:val="1"/>
          <w:i w:val="1"/>
          <w:iCs w:val="1"/>
          <w:sz w:val="24"/>
          <w:szCs w:val="24"/>
          <w:u w:val="single"/>
          <w:rtl w:val="0"/>
        </w:rPr>
        <w:t xml:space="preserve">2.1.4 Grey Market Premium (GMP) &amp; Estimated Listing Return Projection Engine</w:t>
      </w:r>
      <w:r w:rsidDel="00000000" w:rsidR="00000000" w:rsidRPr="00000000">
        <w:rPr>
          <w:rFonts w:ascii="Times New Roman" w:hAnsi="Times New Roman"/>
          <w:b/>
          <w:sz w:val="24"/>
          <w:u w:val="single"/>
          <w:rtl w:val="0"/>
        </w:rPr>
      </w:r>
    </w:p>
    <w:p w:rsidR="00000000" w:rsidDel="00000000" w:rsidP="00000000" w:rsidRDefault="00000000" w:rsidRPr="00000000" w14:paraId="0000009A">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The estimated listing price P_listing and estimated listing gain percentage R_listing for primary market IPO applications are dynamically computed using:</w:t>
      </w:r>
      <w:r w:rsidDel="00000000" w:rsidR="00000000" w:rsidRPr="00000000">
        <w:rPr>
          <w:rFonts w:ascii="Times New Roman" w:hAnsi="Times New Roman"/>
          <w:color w:val="333333"/>
          <w:sz w:val="24"/>
          <w:rtl w:val="0"/>
        </w:rPr>
      </w:r>
    </w:p>
    <w:p w:rsidR="00000000" w:rsidDel="00000000" w:rsidP="00000000" w:rsidRDefault="00000000" w:rsidRPr="00000000" w14:paraId="0000009B">
      <w:pPr>
        <w:spacing w:after="120" w:line="276" w:lineRule="auto" w:before="0"/>
        <w:jc w:val="both"/>
        <w:rPr/>
      </w:pPr>
      <w:r w:rsidDel="00000000" w:rsidR="00000000" w:rsidRPr="00000000">
        <w:rPr>
          <w:rFonts w:ascii="Times New Roman" w:cs="Times New Roman" w:eastAsia="Times New Roman" w:hAnsi="Times New Roman"/>
          <w:b w:val="1"/>
          <w:bCs w:val="1"/>
          <w:color w:val="333333"/>
          <w:sz w:val="24"/>
          <w:szCs w:val="24"/>
          <w:rtl w:val="0"/>
        </w:rPr>
        <w:t xml:space="preserve">Equation 2.3: </w:t>
      </w:r>
      <w:r w:rsidDel="00000000" w:rsidR="00000000" w:rsidRPr="00000000">
        <w:rPr>
          <w:rFonts w:ascii="Times New Roman" w:cs="Times New Roman" w:eastAsia="Times New Roman" w:hAnsi="Times New Roman"/>
          <w:color w:val="333333"/>
          <w:sz w:val="24"/>
          <w:szCs w:val="24"/>
          <w:rtl w:val="0"/>
        </w:rPr>
        <w:t xml:space="preserve">P_listing = P_upper_cap + GMP_absolute</w:t>
      </w:r>
      <w:r w:rsidDel="00000000" w:rsidR="00000000" w:rsidRPr="00000000">
        <w:rPr>
          <w:rFonts w:ascii="Times New Roman" w:hAnsi="Times New Roman"/>
          <w:color w:val="333333"/>
          <w:sz w:val="24"/>
          <w:rtl w:val="0"/>
        </w:rPr>
      </w:r>
    </w:p>
    <w:p w:rsidR="00000000" w:rsidDel="00000000" w:rsidP="00000000" w:rsidRDefault="00000000" w:rsidRPr="00000000" w14:paraId="0000009C">
      <w:pPr>
        <w:spacing w:after="120" w:line="276" w:lineRule="auto" w:before="0"/>
        <w:jc w:val="both"/>
        <w:rPr/>
      </w:pPr>
      <w:r w:rsidDel="00000000" w:rsidR="00000000" w:rsidRPr="00000000">
        <w:rPr>
          <w:rFonts w:ascii="Times New Roman" w:cs="Times New Roman" w:eastAsia="Times New Roman" w:hAnsi="Times New Roman"/>
          <w:b w:val="1"/>
          <w:bCs w:val="1"/>
          <w:color w:val="333333"/>
          <w:sz w:val="24"/>
          <w:szCs w:val="24"/>
          <w:rtl w:val="0"/>
        </w:rPr>
        <w:t xml:space="preserve">Equation 2.4: </w:t>
      </w:r>
      <w:r w:rsidDel="00000000" w:rsidR="00000000" w:rsidRPr="00000000">
        <w:rPr>
          <w:rFonts w:ascii="Times New Roman" w:cs="Times New Roman" w:eastAsia="Times New Roman" w:hAnsi="Times New Roman"/>
          <w:color w:val="333333"/>
          <w:sz w:val="24"/>
          <w:szCs w:val="24"/>
          <w:rtl w:val="0"/>
        </w:rPr>
        <w:t xml:space="preserve">R_listing = ( GMP_absolute / P_upper_cap ) * 100%</w:t>
      </w:r>
      <w:r w:rsidDel="00000000" w:rsidR="00000000" w:rsidRPr="00000000">
        <w:rPr>
          <w:rFonts w:ascii="Times New Roman" w:hAnsi="Times New Roman"/>
          <w:color w:val="333333"/>
          <w:sz w:val="24"/>
          <w:rtl w:val="0"/>
        </w:rPr>
      </w:r>
    </w:p>
    <w:p w:rsidR="00000000" w:rsidDel="00000000" w:rsidP="00000000" w:rsidRDefault="00000000" w:rsidRPr="00000000" w14:paraId="0000009D">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2.2 Characteristic of Data</w:t>
      </w:r>
      <w:r w:rsidDel="00000000" w:rsidR="00000000" w:rsidRPr="00000000">
        <w:rPr>
          <w:rFonts w:ascii="Times New Roman" w:hAnsi="Times New Roman"/>
          <w:b/>
          <w:color w:val="004080"/>
          <w:sz w:val="24"/>
          <w:rtl w:val="0"/>
        </w:rPr>
      </w:r>
    </w:p>
    <w:p w:rsidR="00000000" w:rsidDel="00000000" w:rsidP="00000000" w:rsidRDefault="00000000" w:rsidRPr="00000000" w14:paraId="0000009E">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VITTIYA ingests and processes four heterogeneous data streams:</w:t>
      </w:r>
      <w:r w:rsidDel="00000000" w:rsidR="00000000" w:rsidRPr="00000000">
        <w:rPr>
          <w:rFonts w:ascii="Times New Roman" w:hAnsi="Times New Roman"/>
          <w:color w:val="333333"/>
          <w:sz w:val="24"/>
          <w:rtl w:val="0"/>
        </w:rPr>
      </w:r>
    </w:p>
    <w:p w:rsidR="00000000" w:rsidDel="00000000" w:rsidP="00000000" w:rsidRDefault="00000000" w:rsidRPr="00000000" w14:paraId="0000009F">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Real-Time Market Ticker Payload: JSON feeds containing regularMarketPrice, chartPreviousClose, regularMarketDayHigh, regularMarketDayLow, and timestamp arrays fetched from Yahoo Finance endpoint `https://query1.finance.yahoo.com/v8/finance/chart/{symbol}`.</w:t>
      </w:r>
      <w:r w:rsidDel="00000000" w:rsidR="00000000" w:rsidRPr="00000000">
        <w:rPr>
          <w:rFonts w:ascii="Times New Roman" w:hAnsi="Times New Roman"/>
          <w:color w:val="333333"/>
          <w:sz w:val="24"/>
          <w:rtl w:val="0"/>
        </w:rPr>
      </w:r>
    </w:p>
    <w:p w:rsidR="00000000" w:rsidDel="00000000" w:rsidP="00000000" w:rsidRDefault="00000000" w:rsidRPr="00000000" w14:paraId="000000A0">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Primary Market (IPO) Datasets: Real-time verified Chittorgarh datasets including price bands, issue sizes, minimum lot investments, Grey Market Premiums (GMP), QIB/NII/Retail subscription multipliers, and listing date percentage gains.</w:t>
      </w:r>
      <w:r w:rsidDel="00000000" w:rsidR="00000000" w:rsidRPr="00000000">
        <w:rPr>
          <w:rFonts w:ascii="Times New Roman" w:hAnsi="Times New Roman"/>
          <w:color w:val="333333"/>
          <w:sz w:val="24"/>
          <w:rtl w:val="0"/>
        </w:rPr>
      </w:r>
    </w:p>
    <w:p w:rsidR="00000000" w:rsidDel="00000000" w:rsidP="00000000" w:rsidRDefault="00000000" w:rsidRPr="00000000" w14:paraId="000000A1">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Corporate News &amp; Macro Sentiment Feeds: Structured news payloads categorized by sentiment score (-100 to +100), impact severity (HIGH, MEDIUM, LOW), and explicit first-order, second-order, and third-order ripple impacts.</w:t>
      </w:r>
      <w:r w:rsidDel="00000000" w:rsidR="00000000" w:rsidRPr="00000000">
        <w:rPr>
          <w:rFonts w:ascii="Times New Roman" w:hAnsi="Times New Roman"/>
          <w:color w:val="333333"/>
          <w:sz w:val="24"/>
          <w:rtl w:val="0"/>
        </w:rPr>
      </w:r>
    </w:p>
    <w:p w:rsidR="00000000" w:rsidDel="00000000" w:rsidP="00000000" w:rsidRDefault="00000000" w:rsidRPr="00000000" w14:paraId="000000A2">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Causal DAG Graph Specifications: JSON scenario objects containing node coordinates (x, y), node types, confidence metrics, and edge flow labels.</w:t>
      </w:r>
      <w:r w:rsidDel="00000000" w:rsidR="00000000" w:rsidRPr="00000000">
        <w:rPr>
          <w:rFonts w:ascii="Times New Roman" w:hAnsi="Times New Roman"/>
          <w:color w:val="333333"/>
          <w:sz w:val="24"/>
          <w:rtl w:val="0"/>
        </w:rPr>
      </w:r>
    </w:p>
    <w:p w:rsidR="00000000" w:rsidDel="00000000" w:rsidP="00000000" w:rsidRDefault="00000000" w:rsidRPr="00000000" w14:paraId="000000A3">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2.3 SWOT Analysis</w:t>
      </w:r>
      <w:r w:rsidDel="00000000" w:rsidR="00000000" w:rsidRPr="00000000">
        <w:rPr>
          <w:rFonts w:ascii="Times New Roman" w:hAnsi="Times New Roman"/>
          <w:b/>
          <w:color w:val="004080"/>
          <w:sz w:val="24"/>
          <w:rtl w:val="0"/>
        </w:rPr>
      </w:r>
    </w:p>
    <w:p w:rsidR="00000000" w:rsidDel="00000000" w:rsidP="00000000" w:rsidRDefault="00000000" w:rsidRPr="00000000" w14:paraId="000000A4">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A comprehensive 4-quadrant SWOT matrix evaluating VITTIYA's positioning is detailed below:</w:t>
      </w:r>
      <w:r w:rsidDel="00000000" w:rsidR="00000000" w:rsidRPr="00000000">
        <w:rPr>
          <w:rFonts w:ascii="Times New Roman" w:hAnsi="Times New Roman"/>
          <w:color w:val="333333"/>
          <w:sz w:val="24"/>
          <w:rtl w:val="0"/>
        </w:rPr>
      </w:r>
    </w:p>
    <w:p w:rsidR="00000000" w:rsidDel="00000000" w:rsidP="00000000" w:rsidRDefault="00000000" w:rsidRPr="00000000" w14:paraId="000000A5">
      <w:pPr>
        <w:spacing w:after="120" w:line="276" w:lineRule="auto" w:before="0"/>
        <w:jc w:val="both"/>
        <w:rPr/>
      </w:pPr>
      <w:r>
        <w:rPr>
          <w:rFonts w:ascii="Times New Roman" w:hAnsi="Times New Roman"/>
          <w:color w:val="333333"/>
          <w:sz w:val="24"/>
        </w:rPr>
        <w:t>1. Strengths: 8-second real-time streaming, zero price distortion via regex sanitization, non-linear Causal DAG visualization, Chittorgarh verified IPO integration, zero-dependency browser client, fully responsive Tailwind CSS UI.</w:t>
      </w:r>
    </w:p>
    <w:p w:rsidR="00000000" w:rsidDel="00000000" w:rsidP="00000000" w:rsidRDefault="00000000" w:rsidRPr="00000000" w14:paraId="000000A6">
      <w:pPr>
        <w:spacing w:after="120" w:line="276" w:lineRule="auto" w:before="0"/>
        <w:jc w:val="both"/>
        <w:rPr/>
      </w:pPr>
      <w:r>
        <w:rPr>
          <w:rFonts w:ascii="Times New Roman" w:hAnsi="Times New Roman"/>
          <w:color w:val="333333"/>
          <w:sz w:val="24"/>
        </w:rPr>
        <w:t>2. Weaknesses: Initial dependency on public CORS proxy availability during extreme market traffic peaks, temporary limitation of client-side REST polling vs native WebSocket co-location sockets.</w:t>
      </w:r>
    </w:p>
    <w:p w:rsidR="00000000" w:rsidDel="00000000" w:rsidP="00000000" w:rsidRDefault="00000000" w:rsidRPr="00000000" w14:paraId="000000A7">
      <w:pPr>
        <w:spacing w:after="120" w:line="276" w:lineRule="auto" w:before="0"/>
        <w:jc w:val="both"/>
        <w:rPr/>
      </w:pPr>
      <w:r>
        <w:rPr>
          <w:rFonts w:ascii="Times New Roman" w:hAnsi="Times New Roman"/>
          <w:color w:val="333333"/>
          <w:sz w:val="24"/>
        </w:rPr>
        <w:t>3. Opportunities: Integration with institutional broker APIs (Zerodha Kite Connect, Groww Trading API, AngelOne SmartAPI), deployment of local FinBERT transformer models for automated SEC/SEBI filing analysis.</w:t>
      </w:r>
    </w:p>
    <w:p w:rsidR="00000000" w:rsidDel="00000000" w:rsidP="00000000" w:rsidRDefault="00000000" w:rsidRPr="00000000" w14:paraId="000000A8">
      <w:pPr>
        <w:spacing w:after="120" w:line="276" w:lineRule="auto" w:before="0"/>
        <w:jc w:val="both"/>
        <w:rPr/>
      </w:pPr>
      <w:r>
        <w:rPr>
          <w:rFonts w:ascii="Times New Roman" w:hAnsi="Times New Roman"/>
          <w:color w:val="333333"/>
          <w:sz w:val="24"/>
        </w:rPr>
        <w:t>4. Threats: Rate-limiting policies on public API endpoints, potential regulatory shifts regarding retail automated signal generation.</w:t>
      </w:r>
    </w:p>
    <w:p w:rsidR="00000000" w:rsidDel="00000000" w:rsidP="00000000" w:rsidRDefault="00000000" w:rsidRPr="00000000" w14:paraId="000000A9">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2.4 Project Features</w:t>
      </w:r>
      <w:r w:rsidDel="00000000" w:rsidR="00000000" w:rsidRPr="00000000">
        <w:rPr>
          <w:rFonts w:ascii="Times New Roman" w:hAnsi="Times New Roman"/>
          <w:b/>
          <w:color w:val="004080"/>
          <w:sz w:val="24"/>
          <w:rtl w:val="0"/>
        </w:rPr>
      </w:r>
    </w:p>
    <w:p w:rsidR="00000000" w:rsidDel="00000000" w:rsidP="00000000" w:rsidRDefault="00000000" w:rsidRPr="00000000" w14:paraId="000000AA">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1. Real-Time Market Ticker Strip: Live 8s streaming ticker with pulse glow indicators and IST operating clock badge.</w:t>
      </w:r>
      <w:r w:rsidDel="00000000" w:rsidR="00000000" w:rsidRPr="00000000">
        <w:rPr>
          <w:rFonts w:ascii="Times New Roman" w:hAnsi="Times New Roman"/>
          <w:color w:val="333333"/>
          <w:sz w:val="24"/>
          <w:rtl w:val="0"/>
        </w:rPr>
      </w:r>
    </w:p>
    <w:p w:rsidR="00000000" w:rsidDel="00000000" w:rsidP="00000000" w:rsidRDefault="00000000" w:rsidRPr="00000000" w14:paraId="000000AB">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2. Chittorgarh Verified IPO Hub: Multi-tab dashboard for Open, Closed, Upcoming, and Applied IPOs across Mainboard and SME segments with live GMP tracking.</w:t>
      </w:r>
      <w:r w:rsidDel="00000000" w:rsidR="00000000" w:rsidRPr="00000000">
        <w:rPr>
          <w:rFonts w:ascii="Times New Roman" w:hAnsi="Times New Roman"/>
          <w:color w:val="333333"/>
          <w:sz w:val="24"/>
          <w:rtl w:val="0"/>
        </w:rPr>
      </w:r>
    </w:p>
    <w:p w:rsidR="00000000" w:rsidDel="00000000" w:rsidP="00000000" w:rsidRDefault="00000000" w:rsidRPr="00000000" w14:paraId="000000AC">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3. AI Causal Brain Hub: Non-linear graph visualization of geopolitical, agricultural, and monetary policy shocks.</w:t>
      </w:r>
      <w:r w:rsidDel="00000000" w:rsidR="00000000" w:rsidRPr="00000000">
        <w:rPr>
          <w:rFonts w:ascii="Times New Roman" w:hAnsi="Times New Roman"/>
          <w:color w:val="333333"/>
          <w:sz w:val="24"/>
          <w:rtl w:val="0"/>
        </w:rPr>
      </w:r>
    </w:p>
    <w:p w:rsidR="00000000" w:rsidDel="00000000" w:rsidP="00000000" w:rsidRDefault="00000000" w:rsidRPr="00000000" w14:paraId="000000AD">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4. Dynamic Stock Profile Inspector: Real-time company fundamental inspector rendering live candlestick charts, order depth, corporate actions, and split news feeds.</w:t>
      </w:r>
      <w:r w:rsidDel="00000000" w:rsidR="00000000" w:rsidRPr="00000000">
        <w:rPr>
          <w:rFonts w:ascii="Times New Roman" w:hAnsi="Times New Roman"/>
          <w:color w:val="333333"/>
          <w:sz w:val="24"/>
          <w:rtl w:val="0"/>
        </w:rPr>
      </w:r>
    </w:p>
    <w:p w:rsidR="00000000" w:rsidDel="00000000" w:rsidP="00000000" w:rsidRDefault="00000000" w:rsidRPr="00000000" w14:paraId="000000AE">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5. Enterprise Alert Bus: Categorized alert center with one-click tab navigation.</w:t>
      </w:r>
      <w:r w:rsidDel="00000000" w:rsidR="00000000" w:rsidRPr="00000000">
        <w:rPr>
          <w:rFonts w:ascii="Times New Roman" w:hAnsi="Times New Roman"/>
          <w:color w:val="333333"/>
          <w:sz w:val="24"/>
          <w:rtl w:val="0"/>
        </w:rPr>
      </w:r>
    </w:p>
    <w:p w:rsidR="00000000" w:rsidDel="00000000" w:rsidP="00000000" w:rsidRDefault="00000000" w:rsidRPr="00000000" w14:paraId="000000AF">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2.5 User Classes and Characteristics</w:t>
      </w:r>
      <w:r w:rsidDel="00000000" w:rsidR="00000000" w:rsidRPr="00000000">
        <w:rPr>
          <w:rFonts w:ascii="Times New Roman" w:hAnsi="Times New Roman"/>
          <w:b/>
          <w:color w:val="004080"/>
          <w:sz w:val="24"/>
          <w:rtl w:val="0"/>
        </w:rPr>
      </w:r>
    </w:p>
    <w:p w:rsidR="00000000" w:rsidDel="00000000" w:rsidP="00000000" w:rsidRDefault="00000000" w:rsidRPr="00000000" w14:paraId="000000B0">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Class A (Retail Investors): Technical proficiency: Novice to Intermediate. Primary usage: Monitoring indices, checking IPO GMPs, and tracking portfolio asset values.</w:t>
      </w:r>
      <w:r w:rsidDel="00000000" w:rsidR="00000000" w:rsidRPr="00000000">
        <w:rPr>
          <w:rFonts w:ascii="Times New Roman" w:hAnsi="Times New Roman"/>
          <w:color w:val="333333"/>
          <w:sz w:val="24"/>
          <w:rtl w:val="0"/>
        </w:rPr>
      </w:r>
    </w:p>
    <w:p w:rsidR="00000000" w:rsidDel="00000000" w:rsidP="00000000" w:rsidRDefault="00000000" w:rsidRPr="00000000" w14:paraId="000000B1">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Class B (Active Day Traders): Technical proficiency: Advanced. Primary usage: Real-time bid/ask market depth inspection, candlestick chart analysis, and fast execution.</w:t>
      </w:r>
      <w:r w:rsidDel="00000000" w:rsidR="00000000" w:rsidRPr="00000000">
        <w:rPr>
          <w:rFonts w:ascii="Times New Roman" w:hAnsi="Times New Roman"/>
          <w:color w:val="333333"/>
          <w:sz w:val="24"/>
          <w:rtl w:val="0"/>
        </w:rPr>
      </w:r>
    </w:p>
    <w:p w:rsidR="00000000" w:rsidDel="00000000" w:rsidP="00000000" w:rsidRDefault="00000000" w:rsidRPr="00000000" w14:paraId="000000B2">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Class C (Risk Managers &amp; Quantitative Strategists): Technical proficiency: Expert. Primary usage: Simulating macro shocks, evaluating DAG causal propagation, and stress-testing capital.</w:t>
      </w:r>
      <w:r w:rsidDel="00000000" w:rsidR="00000000" w:rsidRPr="00000000">
        <w:rPr>
          <w:rFonts w:ascii="Times New Roman" w:hAnsi="Times New Roman"/>
          <w:color w:val="333333"/>
          <w:sz w:val="24"/>
          <w:rtl w:val="0"/>
        </w:rPr>
      </w:r>
    </w:p>
    <w:p w:rsidR="00000000" w:rsidDel="00000000" w:rsidP="00000000" w:rsidRDefault="00000000" w:rsidRPr="00000000" w14:paraId="000000B3">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2.6 Design and Implementation Constraints</w:t>
      </w:r>
      <w:r w:rsidDel="00000000" w:rsidR="00000000" w:rsidRPr="00000000">
        <w:rPr>
          <w:rFonts w:ascii="Times New Roman" w:hAnsi="Times New Roman"/>
          <w:b/>
          <w:color w:val="004080"/>
          <w:sz w:val="24"/>
          <w:rtl w:val="0"/>
        </w:rPr>
      </w:r>
    </w:p>
    <w:p w:rsidR="00000000" w:rsidDel="00000000" w:rsidP="00000000" w:rsidRDefault="00000000" w:rsidRPr="00000000" w14:paraId="000000B4">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Hardware &amp; Memory Constraints: Single-page application bundle size capped under 1.2 MB to guarantee sub-second page loads.</w:t>
      </w:r>
      <w:r w:rsidDel="00000000" w:rsidR="00000000" w:rsidRPr="00000000">
        <w:rPr>
          <w:rFonts w:ascii="Times New Roman" w:hAnsi="Times New Roman"/>
          <w:color w:val="333333"/>
          <w:sz w:val="24"/>
          <w:rtl w:val="0"/>
        </w:rPr>
      </w:r>
    </w:p>
    <w:p w:rsidR="00000000" w:rsidDel="00000000" w:rsidP="00000000" w:rsidRDefault="00000000" w:rsidRPr="00000000" w14:paraId="000000B5">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Network Latency Budget: REST API fetch requests bounded by a 3500ms AbortSignal timeout to prevent UI freezes.</w:t>
      </w:r>
      <w:r w:rsidDel="00000000" w:rsidR="00000000" w:rsidRPr="00000000">
        <w:rPr>
          <w:rFonts w:ascii="Times New Roman" w:hAnsi="Times New Roman"/>
          <w:color w:val="333333"/>
          <w:sz w:val="24"/>
          <w:rtl w:val="0"/>
        </w:rPr>
      </w:r>
    </w:p>
    <w:p w:rsidR="00000000" w:rsidDel="00000000" w:rsidP="00000000" w:rsidRDefault="00000000" w:rsidRPr="00000000" w14:paraId="000000B6">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Cross-Origin Security: Implementation of dual-CORS proxy fallbacks (`api.allorigins.win`, `corsproxy.io`) to comply with browser Same-Origin Policy (SOP).</w:t>
      </w:r>
      <w:r w:rsidDel="00000000" w:rsidR="00000000" w:rsidRPr="00000000">
        <w:rPr>
          <w:rFonts w:ascii="Times New Roman" w:hAnsi="Times New Roman"/>
          <w:color w:val="333333"/>
          <w:sz w:val="24"/>
          <w:rtl w:val="0"/>
        </w:rPr>
      </w:r>
    </w:p>
    <w:p w:rsidR="00000000" w:rsidDel="00000000" w:rsidP="00000000" w:rsidRDefault="00000000" w:rsidRPr="00000000" w14:paraId="000000B7">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2.7 Design diagrams</w:t>
      </w:r>
      <w:r w:rsidDel="00000000" w:rsidR="00000000" w:rsidRPr="00000000">
        <w:rPr>
          <w:rFonts w:ascii="Times New Roman" w:hAnsi="Times New Roman"/>
          <w:b/>
          <w:color w:val="004080"/>
          <w:sz w:val="24"/>
          <w:rtl w:val="0"/>
        </w:rPr>
      </w:r>
    </w:p>
    <w:p w:rsidR="00000000" w:rsidDel="00000000" w:rsidP="00000000" w:rsidRDefault="00000000" w:rsidRPr="00000000" w14:paraId="000000B8">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The system architecture is modeled using standardized UML diagrams including Use-Case Diagrams (Level 1 &amp; Level 2), Class Diagrams, Activity Diagrams, Sequence Diagrams, Data Flow Diagrams (DFD Level 0 &amp; Level 1), State Diagrams, Collaboration Diagrams, and Deployment Diagrams.</w:t>
      </w:r>
      <w:r w:rsidDel="00000000" w:rsidR="00000000" w:rsidRPr="00000000">
        <w:rPr>
          <w:rFonts w:ascii="Times New Roman" w:hAnsi="Times New Roman"/>
          <w:color w:val="333333"/>
          <w:sz w:val="24"/>
          <w:rtl w:val="0"/>
        </w:rPr>
      </w:r>
    </w:p>
    <w:p>
      <w:pPr>
        <w:spacing w:before="240" w:after="80"/>
        <w:jc w:val="center"/>
      </w:pPr>
      <w:r>
        <w:drawing>
          <wp:inline>
            <wp:extent cx="5669280" cy="2529195"/>
            <wp:docPr id="4" name="Picture 4"/>
            <wp:cNvGraphicFramePr>
              <a:graphicFrameLocks noChangeAspect="1"/>
            </wp:cNvGraphicFramePr>
            <a:graphic>
              <a:graphicData uri="http://schemas.openxmlformats.org/drawingml/2006/picture">
                <pic:pic>
                  <pic:nvPicPr>
                    <pic:cNvPr id="0" name="diagram_3_dfd_level_1.png"/>
                    <pic:cNvPicPr/>
                  </pic:nvPicPr>
                  <pic:blipFill>
                    <a:blip r:embed="rId16"/>
                    <a:stretch>
                      <a:fillRect/>
                    </a:stretch>
                  </pic:blipFill>
                  <pic:spPr>
                    <a:xfrm>
                      <a:off x="0" y="0"/>
                      <a:ext cx="5669280" cy="2529195"/>
                    </a:xfrm>
                    <a:prstGeom prst="rect"/>
                  </pic:spPr>
                </pic:pic>
              </a:graphicData>
            </a:graphic>
          </wp:inline>
        </w:drawing>
      </w:r>
    </w:p>
    <w:p>
      <w:pPr>
        <w:spacing w:after="120" w:line="276" w:lineRule="auto" w:before="0"/>
        <w:jc w:val="both"/>
      </w:pPr>
      <w:r>
        <w:rPr>
          <w:rFonts w:ascii="Times New Roman" w:hAnsi="Times New Roman"/>
          <w:b/>
          <w:i/>
          <w:color w:val="333333"/>
          <w:sz w:val="24"/>
        </w:rPr>
        <w:t>Figure 2.2: Data Flow Diagram (DFD Level 1) — REST Ingestion, Proxy Fallback &amp; Render Pipeline</w:t>
      </w:r>
    </w:p>
    <w:p w:rsidR="00000000" w:rsidDel="00000000" w:rsidP="00000000" w:rsidRDefault="00000000" w:rsidRPr="00000000" w14:paraId="000000B9">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2.8 Assumption and Dependencies</w:t>
      </w:r>
      <w:r w:rsidDel="00000000" w:rsidR="00000000" w:rsidRPr="00000000">
        <w:rPr>
          <w:rFonts w:ascii="Times New Roman" w:hAnsi="Times New Roman"/>
          <w:b/>
          <w:color w:val="004080"/>
          <w:sz w:val="24"/>
          <w:rtl w:val="0"/>
        </w:rPr>
      </w:r>
    </w:p>
    <w:p w:rsidR="00000000" w:rsidDel="00000000" w:rsidP="00000000" w:rsidRDefault="00000000" w:rsidRPr="00000000" w14:paraId="000000BA">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Assumes continuous internet connectivity for REST API polling, WebGL/HTML5 Canvas support in the user's browser, and standard browser LocalStorage availability.</w:t>
      </w:r>
      <w:r w:rsidDel="00000000" w:rsidR="00000000" w:rsidRPr="00000000">
        <w:rPr>
          <w:rFonts w:ascii="Times New Roman" w:hAnsi="Times New Roman"/>
          <w:color w:val="333333"/>
          <w:sz w:val="24"/>
          <w:rtl w:val="0"/>
        </w:rPr>
      </w:r>
    </w:p>
    <w:p>
      <w:pPr>
        <w:keepNext/>
        <w:spacing w:before="360" w:after="120"/>
      </w:pPr>
      <w:r>
        <w:rPr>
          <w:rFonts w:ascii="Times New Roman" w:hAnsi="Times New Roman"/>
          <w:b/>
          <w:color w:val="004080"/>
          <w:sz w:val="24"/>
        </w:rPr>
        <w:t>2.9 Project Schedule &amp; PERT Critical Path Analysis</w:t>
      </w:r>
    </w:p>
    <w:p>
      <w:pPr>
        <w:spacing w:line="276" w:lineRule="auto" w:after="160"/>
        <w:jc w:val="both"/>
      </w:pPr>
      <w:r>
        <w:rPr>
          <w:rFonts w:ascii="Times New Roman" w:hAnsi="Times New Roman"/>
          <w:sz w:val="24"/>
        </w:rPr>
        <w:t>To ensure rigorous project governance and timely execution, Project VITTIYA applies the Program Evaluation and Review Technique (PERT). The expected duration Te for each task is derived using three-point time estimation: Te = (a + 4m + b) / 6, where 'a' represents optimistic duration, 'm' represents most likely duration, and 'b' represents pessimistic duration. Task variance is calculated via σ² = ((b - a) / 6)². The Critical Path (Tasks A -&gt; B -&gt; C -&gt; E -&gt; H) governs total project completion, yielding an expected duration of 10.91 weeks (~11 Weeks).</w:t>
      </w:r>
    </w:p>
    <w:p>
      <w:pPr>
        <w:spacing w:before="200" w:after="80"/>
        <w:jc w:val="center"/>
      </w:pPr>
      <w:r>
        <w:drawing>
          <wp:inline>
            <wp:extent cx="5669280" cy="3464560"/>
            <wp:docPr id="6" name="Picture 6"/>
            <wp:cNvGraphicFramePr>
              <a:graphicFrameLocks noChangeAspect="1"/>
            </wp:cNvGraphicFramePr>
            <a:graphic>
              <a:graphicData uri="http://schemas.openxmlformats.org/drawingml/2006/picture">
                <pic:pic>
                  <pic:nvPicPr>
                    <pic:cNvPr id="0" name="pert_chart.png"/>
                    <pic:cNvPicPr/>
                  </pic:nvPicPr>
                  <pic:blipFill>
                    <a:blip r:embed="rId22"/>
                    <a:stretch>
                      <a:fillRect/>
                    </a:stretch>
                  </pic:blipFill>
                  <pic:spPr>
                    <a:xfrm>
                      <a:off x="0" y="0"/>
                      <a:ext cx="5669280" cy="3464560"/>
                    </a:xfrm>
                    <a:prstGeom prst="rect"/>
                  </pic:spPr>
                </pic:pic>
              </a:graphicData>
            </a:graphic>
          </wp:inline>
        </w:drawing>
      </w:r>
    </w:p>
    <w:p>
      <w:pPr>
        <w:spacing w:after="200"/>
        <w:jc w:val="center"/>
      </w:pPr>
      <w:r>
        <w:rPr>
          <w:rFonts w:ascii="Times New Roman" w:hAnsi="Times New Roman"/>
          <w:b/>
          <w:i/>
          <w:color w:val="C53030"/>
          <w:sz w:val="21"/>
        </w:rPr>
        <w:t>Figure 2.3: PERT Network Chart &amp; Critical Path Analysis (Tasks A -&gt; B -&gt; C -&gt; E -&gt; H)</w:t>
      </w:r>
    </w:p>
    <w:p>
      <w:pPr>
        <w:spacing w:before="120" w:after="120"/>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2060"/>
            <w:tcMar>
              <w:top w:w="80" w:type="dxa"/>
              <w:bottom w:w="80" w:type="dxa"/>
              <w:left w:w="80" w:type="dxa"/>
              <w:right w:w="80" w:type="dxa"/>
            </w:tcMar>
          </w:tcPr>
          <w:p>
            <w:r>
              <w:rPr>
                <w:rFonts w:ascii="Times New Roman" w:hAnsi="Times New Roman"/>
                <w:b/>
                <w:color w:val="FFFFFF"/>
                <w:sz w:val="19"/>
              </w:rPr>
              <w:t>ID</w:t>
            </w:r>
          </w:p>
        </w:tc>
        <w:tc>
          <w:tcPr>
            <w:tcW w:type="dxa" w:w="1170"/>
            <w:shd w:fill="002060"/>
            <w:tcMar>
              <w:top w:w="80" w:type="dxa"/>
              <w:bottom w:w="80" w:type="dxa"/>
              <w:left w:w="80" w:type="dxa"/>
              <w:right w:w="80" w:type="dxa"/>
            </w:tcMar>
          </w:tcPr>
          <w:p>
            <w:r>
              <w:rPr>
                <w:rFonts w:ascii="Times New Roman" w:hAnsi="Times New Roman"/>
                <w:b/>
                <w:color w:val="FFFFFF"/>
                <w:sz w:val="19"/>
              </w:rPr>
              <w:t>Task Description</w:t>
            </w:r>
          </w:p>
        </w:tc>
        <w:tc>
          <w:tcPr>
            <w:tcW w:type="dxa" w:w="1170"/>
            <w:shd w:fill="002060"/>
            <w:tcMar>
              <w:top w:w="80" w:type="dxa"/>
              <w:bottom w:w="80" w:type="dxa"/>
              <w:left w:w="80" w:type="dxa"/>
              <w:right w:w="80" w:type="dxa"/>
            </w:tcMar>
          </w:tcPr>
          <w:p>
            <w:r>
              <w:rPr>
                <w:rFonts w:ascii="Times New Roman" w:hAnsi="Times New Roman"/>
                <w:b/>
                <w:color w:val="FFFFFF"/>
                <w:sz w:val="19"/>
              </w:rPr>
              <w:t>Predecessors</w:t>
            </w:r>
          </w:p>
        </w:tc>
        <w:tc>
          <w:tcPr>
            <w:tcW w:type="dxa" w:w="1170"/>
            <w:shd w:fill="002060"/>
            <w:tcMar>
              <w:top w:w="80" w:type="dxa"/>
              <w:bottom w:w="80" w:type="dxa"/>
              <w:left w:w="80" w:type="dxa"/>
              <w:right w:w="80" w:type="dxa"/>
            </w:tcMar>
          </w:tcPr>
          <w:p>
            <w:r>
              <w:rPr>
                <w:rFonts w:ascii="Times New Roman" w:hAnsi="Times New Roman"/>
                <w:b/>
                <w:color w:val="FFFFFF"/>
                <w:sz w:val="19"/>
              </w:rPr>
              <w:t>Opt (a)</w:t>
            </w:r>
          </w:p>
        </w:tc>
        <w:tc>
          <w:tcPr>
            <w:tcW w:type="dxa" w:w="1170"/>
            <w:shd w:fill="002060"/>
            <w:tcMar>
              <w:top w:w="80" w:type="dxa"/>
              <w:bottom w:w="80" w:type="dxa"/>
              <w:left w:w="80" w:type="dxa"/>
              <w:right w:w="80" w:type="dxa"/>
            </w:tcMar>
          </w:tcPr>
          <w:p>
            <w:r>
              <w:rPr>
                <w:rFonts w:ascii="Times New Roman" w:hAnsi="Times New Roman"/>
                <w:b/>
                <w:color w:val="FFFFFF"/>
                <w:sz w:val="19"/>
              </w:rPr>
              <w:t>Likely (m)</w:t>
            </w:r>
          </w:p>
        </w:tc>
        <w:tc>
          <w:tcPr>
            <w:tcW w:type="dxa" w:w="1170"/>
            <w:shd w:fill="002060"/>
            <w:tcMar>
              <w:top w:w="80" w:type="dxa"/>
              <w:bottom w:w="80" w:type="dxa"/>
              <w:left w:w="80" w:type="dxa"/>
              <w:right w:w="80" w:type="dxa"/>
            </w:tcMar>
          </w:tcPr>
          <w:p>
            <w:r>
              <w:rPr>
                <w:rFonts w:ascii="Times New Roman" w:hAnsi="Times New Roman"/>
                <w:b/>
                <w:color w:val="FFFFFF"/>
                <w:sz w:val="19"/>
              </w:rPr>
              <w:t>Pess (b)</w:t>
            </w:r>
          </w:p>
        </w:tc>
        <w:tc>
          <w:tcPr>
            <w:tcW w:type="dxa" w:w="1170"/>
            <w:shd w:fill="002060"/>
            <w:tcMar>
              <w:top w:w="80" w:type="dxa"/>
              <w:bottom w:w="80" w:type="dxa"/>
              <w:left w:w="80" w:type="dxa"/>
              <w:right w:w="80" w:type="dxa"/>
            </w:tcMar>
          </w:tcPr>
          <w:p>
            <w:r>
              <w:rPr>
                <w:rFonts w:ascii="Times New Roman" w:hAnsi="Times New Roman"/>
                <w:b/>
                <w:color w:val="FFFFFF"/>
                <w:sz w:val="19"/>
              </w:rPr>
              <w:t>Te (wks)</w:t>
            </w:r>
          </w:p>
        </w:tc>
        <w:tc>
          <w:tcPr>
            <w:tcW w:type="dxa" w:w="1170"/>
            <w:shd w:fill="002060"/>
            <w:tcMar>
              <w:top w:w="80" w:type="dxa"/>
              <w:bottom w:w="80" w:type="dxa"/>
              <w:left w:w="80" w:type="dxa"/>
              <w:right w:w="80" w:type="dxa"/>
            </w:tcMar>
          </w:tcPr>
          <w:p>
            <w:r>
              <w:rPr>
                <w:rFonts w:ascii="Times New Roman" w:hAnsi="Times New Roman"/>
                <w:b/>
                <w:color w:val="FFFFFF"/>
                <w:sz w:val="19"/>
              </w:rPr>
              <w:t>Critical?</w:t>
            </w:r>
          </w:p>
        </w:tc>
      </w:tr>
      <w:tr>
        <w:tc>
          <w:tcPr>
            <w:tcW w:type="dxa" w:w="1170"/>
            <w:shd w:fill="FFF5F5"/>
            <w:tcMar>
              <w:top w:w="60" w:type="dxa"/>
              <w:bottom w:w="60" w:type="dxa"/>
              <w:left w:w="80" w:type="dxa"/>
              <w:right w:w="80" w:type="dxa"/>
            </w:tcMar>
          </w:tcPr>
          <w:p>
            <w:r>
              <w:rPr>
                <w:rFonts w:ascii="Times New Roman" w:hAnsi="Times New Roman"/>
                <w:b/>
                <w:sz w:val="18"/>
              </w:rPr>
              <w:t>A</w:t>
            </w:r>
          </w:p>
        </w:tc>
        <w:tc>
          <w:tcPr>
            <w:tcW w:type="dxa" w:w="1170"/>
            <w:shd w:fill="FFF5F5"/>
            <w:tcMar>
              <w:top w:w="60" w:type="dxa"/>
              <w:bottom w:w="60" w:type="dxa"/>
              <w:left w:w="80" w:type="dxa"/>
              <w:right w:w="80" w:type="dxa"/>
            </w:tcMar>
          </w:tcPr>
          <w:p>
            <w:r>
              <w:rPr>
                <w:rFonts w:ascii="Times New Roman" w:hAnsi="Times New Roman"/>
                <w:b/>
                <w:sz w:val="18"/>
              </w:rPr>
              <w:t>Requirement Analysis &amp; Scope Definition</w:t>
            </w:r>
          </w:p>
        </w:tc>
        <w:tc>
          <w:tcPr>
            <w:tcW w:type="dxa" w:w="1170"/>
            <w:shd w:fill="FFF5F5"/>
            <w:tcMar>
              <w:top w:w="60" w:type="dxa"/>
              <w:bottom w:w="60" w:type="dxa"/>
              <w:left w:w="80" w:type="dxa"/>
              <w:right w:w="80" w:type="dxa"/>
            </w:tcMar>
          </w:tcPr>
          <w:p>
            <w:r>
              <w:rPr>
                <w:rFonts w:ascii="Times New Roman" w:hAnsi="Times New Roman"/>
                <w:b/>
                <w:sz w:val="18"/>
              </w:rPr>
              <w:t>—</w:t>
            </w:r>
          </w:p>
        </w:tc>
        <w:tc>
          <w:tcPr>
            <w:tcW w:type="dxa" w:w="1170"/>
            <w:shd w:fill="FFF5F5"/>
            <w:tcMar>
              <w:top w:w="60" w:type="dxa"/>
              <w:bottom w:w="60" w:type="dxa"/>
              <w:left w:w="80" w:type="dxa"/>
              <w:right w:w="80" w:type="dxa"/>
            </w:tcMar>
          </w:tcPr>
          <w:p>
            <w:r>
              <w:rPr>
                <w:rFonts w:ascii="Times New Roman" w:hAnsi="Times New Roman"/>
                <w:b/>
                <w:sz w:val="18"/>
              </w:rPr>
              <w:t>1.0</w:t>
            </w:r>
          </w:p>
        </w:tc>
        <w:tc>
          <w:tcPr>
            <w:tcW w:type="dxa" w:w="1170"/>
            <w:shd w:fill="FFF5F5"/>
            <w:tcMar>
              <w:top w:w="60" w:type="dxa"/>
              <w:bottom w:w="60" w:type="dxa"/>
              <w:left w:w="80" w:type="dxa"/>
              <w:right w:w="80" w:type="dxa"/>
            </w:tcMar>
          </w:tcPr>
          <w:p>
            <w:r>
              <w:rPr>
                <w:rFonts w:ascii="Times New Roman" w:hAnsi="Times New Roman"/>
                <w:b/>
                <w:sz w:val="18"/>
              </w:rPr>
              <w:t>2.0</w:t>
            </w:r>
          </w:p>
        </w:tc>
        <w:tc>
          <w:tcPr>
            <w:tcW w:type="dxa" w:w="1170"/>
            <w:shd w:fill="FFF5F5"/>
            <w:tcMar>
              <w:top w:w="60" w:type="dxa"/>
              <w:bottom w:w="60" w:type="dxa"/>
              <w:left w:w="80" w:type="dxa"/>
              <w:right w:w="80" w:type="dxa"/>
            </w:tcMar>
          </w:tcPr>
          <w:p>
            <w:r>
              <w:rPr>
                <w:rFonts w:ascii="Times New Roman" w:hAnsi="Times New Roman"/>
                <w:b/>
                <w:sz w:val="18"/>
              </w:rPr>
              <w:t>3.0</w:t>
            </w:r>
          </w:p>
        </w:tc>
        <w:tc>
          <w:tcPr>
            <w:tcW w:type="dxa" w:w="1170"/>
            <w:shd w:fill="FFF5F5"/>
            <w:tcMar>
              <w:top w:w="60" w:type="dxa"/>
              <w:bottom w:w="60" w:type="dxa"/>
              <w:left w:w="80" w:type="dxa"/>
              <w:right w:w="80" w:type="dxa"/>
            </w:tcMar>
          </w:tcPr>
          <w:p>
            <w:r>
              <w:rPr>
                <w:rFonts w:ascii="Times New Roman" w:hAnsi="Times New Roman"/>
                <w:b/>
                <w:sz w:val="18"/>
              </w:rPr>
              <w:t>2.00</w:t>
            </w:r>
          </w:p>
        </w:tc>
        <w:tc>
          <w:tcPr>
            <w:tcW w:type="dxa" w:w="1170"/>
            <w:shd w:fill="FFF5F5"/>
            <w:tcMar>
              <w:top w:w="60" w:type="dxa"/>
              <w:bottom w:w="60" w:type="dxa"/>
              <w:left w:w="80" w:type="dxa"/>
              <w:right w:w="80" w:type="dxa"/>
            </w:tcMar>
          </w:tcPr>
          <w:p>
            <w:r>
              <w:rPr>
                <w:rFonts w:ascii="Times New Roman" w:hAnsi="Times New Roman"/>
                <w:b/>
                <w:color w:val="C53030"/>
                <w:sz w:val="18"/>
              </w:rPr>
              <w:t>YES (Critical)</w:t>
            </w:r>
          </w:p>
        </w:tc>
      </w:tr>
      <w:tr>
        <w:tc>
          <w:tcPr>
            <w:tcW w:type="dxa" w:w="1170"/>
            <w:shd w:fill="FFF5F5"/>
            <w:tcMar>
              <w:top w:w="60" w:type="dxa"/>
              <w:bottom w:w="60" w:type="dxa"/>
              <w:left w:w="80" w:type="dxa"/>
              <w:right w:w="80" w:type="dxa"/>
            </w:tcMar>
          </w:tcPr>
          <w:p>
            <w:r>
              <w:rPr>
                <w:rFonts w:ascii="Times New Roman" w:hAnsi="Times New Roman"/>
                <w:b/>
                <w:sz w:val="18"/>
              </w:rPr>
              <w:t>B</w:t>
            </w:r>
          </w:p>
        </w:tc>
        <w:tc>
          <w:tcPr>
            <w:tcW w:type="dxa" w:w="1170"/>
            <w:shd w:fill="FFF5F5"/>
            <w:tcMar>
              <w:top w:w="60" w:type="dxa"/>
              <w:bottom w:w="60" w:type="dxa"/>
              <w:left w:w="80" w:type="dxa"/>
              <w:right w:w="80" w:type="dxa"/>
            </w:tcMar>
          </w:tcPr>
          <w:p>
            <w:r>
              <w:rPr>
                <w:rFonts w:ascii="Times New Roman" w:hAnsi="Times New Roman"/>
                <w:b/>
                <w:sz w:val="18"/>
              </w:rPr>
              <w:t>Yahoo Finance REST API &amp; CORS Proxy Setup</w:t>
            </w:r>
          </w:p>
        </w:tc>
        <w:tc>
          <w:tcPr>
            <w:tcW w:type="dxa" w:w="1170"/>
            <w:shd w:fill="FFF5F5"/>
            <w:tcMar>
              <w:top w:w="60" w:type="dxa"/>
              <w:bottom w:w="60" w:type="dxa"/>
              <w:left w:w="80" w:type="dxa"/>
              <w:right w:w="80" w:type="dxa"/>
            </w:tcMar>
          </w:tcPr>
          <w:p>
            <w:r>
              <w:rPr>
                <w:rFonts w:ascii="Times New Roman" w:hAnsi="Times New Roman"/>
                <w:b/>
                <w:sz w:val="18"/>
              </w:rPr>
              <w:t>A</w:t>
            </w:r>
          </w:p>
        </w:tc>
        <w:tc>
          <w:tcPr>
            <w:tcW w:type="dxa" w:w="1170"/>
            <w:shd w:fill="FFF5F5"/>
            <w:tcMar>
              <w:top w:w="60" w:type="dxa"/>
              <w:bottom w:w="60" w:type="dxa"/>
              <w:left w:w="80" w:type="dxa"/>
              <w:right w:w="80" w:type="dxa"/>
            </w:tcMar>
          </w:tcPr>
          <w:p>
            <w:r>
              <w:rPr>
                <w:rFonts w:ascii="Times New Roman" w:hAnsi="Times New Roman"/>
                <w:b/>
                <w:sz w:val="18"/>
              </w:rPr>
              <w:t>1.0</w:t>
            </w:r>
          </w:p>
        </w:tc>
        <w:tc>
          <w:tcPr>
            <w:tcW w:type="dxa" w:w="1170"/>
            <w:shd w:fill="FFF5F5"/>
            <w:tcMar>
              <w:top w:w="60" w:type="dxa"/>
              <w:bottom w:w="60" w:type="dxa"/>
              <w:left w:w="80" w:type="dxa"/>
              <w:right w:w="80" w:type="dxa"/>
            </w:tcMar>
          </w:tcPr>
          <w:p>
            <w:r>
              <w:rPr>
                <w:rFonts w:ascii="Times New Roman" w:hAnsi="Times New Roman"/>
                <w:b/>
                <w:sz w:val="18"/>
              </w:rPr>
              <w:t>2.0</w:t>
            </w:r>
          </w:p>
        </w:tc>
        <w:tc>
          <w:tcPr>
            <w:tcW w:type="dxa" w:w="1170"/>
            <w:shd w:fill="FFF5F5"/>
            <w:tcMar>
              <w:top w:w="60" w:type="dxa"/>
              <w:bottom w:w="60" w:type="dxa"/>
              <w:left w:w="80" w:type="dxa"/>
              <w:right w:w="80" w:type="dxa"/>
            </w:tcMar>
          </w:tcPr>
          <w:p>
            <w:r>
              <w:rPr>
                <w:rFonts w:ascii="Times New Roman" w:hAnsi="Times New Roman"/>
                <w:b/>
                <w:sz w:val="18"/>
              </w:rPr>
              <w:t>4.0</w:t>
            </w:r>
          </w:p>
        </w:tc>
        <w:tc>
          <w:tcPr>
            <w:tcW w:type="dxa" w:w="1170"/>
            <w:shd w:fill="FFF5F5"/>
            <w:tcMar>
              <w:top w:w="60" w:type="dxa"/>
              <w:bottom w:w="60" w:type="dxa"/>
              <w:left w:w="80" w:type="dxa"/>
              <w:right w:w="80" w:type="dxa"/>
            </w:tcMar>
          </w:tcPr>
          <w:p>
            <w:r>
              <w:rPr>
                <w:rFonts w:ascii="Times New Roman" w:hAnsi="Times New Roman"/>
                <w:b/>
                <w:sz w:val="18"/>
              </w:rPr>
              <w:t>2.17</w:t>
            </w:r>
          </w:p>
        </w:tc>
        <w:tc>
          <w:tcPr>
            <w:tcW w:type="dxa" w:w="1170"/>
            <w:shd w:fill="FFF5F5"/>
            <w:tcMar>
              <w:top w:w="60" w:type="dxa"/>
              <w:bottom w:w="60" w:type="dxa"/>
              <w:left w:w="80" w:type="dxa"/>
              <w:right w:w="80" w:type="dxa"/>
            </w:tcMar>
          </w:tcPr>
          <w:p>
            <w:r>
              <w:rPr>
                <w:rFonts w:ascii="Times New Roman" w:hAnsi="Times New Roman"/>
                <w:b/>
                <w:color w:val="C53030"/>
                <w:sz w:val="18"/>
              </w:rPr>
              <w:t>YES (Critical)</w:t>
            </w:r>
          </w:p>
        </w:tc>
      </w:tr>
      <w:tr>
        <w:tc>
          <w:tcPr>
            <w:tcW w:type="dxa" w:w="1170"/>
            <w:shd w:fill="FFF5F5"/>
            <w:tcMar>
              <w:top w:w="60" w:type="dxa"/>
              <w:bottom w:w="60" w:type="dxa"/>
              <w:left w:w="80" w:type="dxa"/>
              <w:right w:w="80" w:type="dxa"/>
            </w:tcMar>
          </w:tcPr>
          <w:p>
            <w:r>
              <w:rPr>
                <w:rFonts w:ascii="Times New Roman" w:hAnsi="Times New Roman"/>
                <w:b/>
                <w:sz w:val="18"/>
              </w:rPr>
              <w:t>C</w:t>
            </w:r>
          </w:p>
        </w:tc>
        <w:tc>
          <w:tcPr>
            <w:tcW w:type="dxa" w:w="1170"/>
            <w:shd w:fill="FFF5F5"/>
            <w:tcMar>
              <w:top w:w="60" w:type="dxa"/>
              <w:bottom w:w="60" w:type="dxa"/>
              <w:left w:w="80" w:type="dxa"/>
              <w:right w:w="80" w:type="dxa"/>
            </w:tcMar>
          </w:tcPr>
          <w:p>
            <w:r>
              <w:rPr>
                <w:rFonts w:ascii="Times New Roman" w:hAnsi="Times New Roman"/>
                <w:b/>
                <w:sz w:val="18"/>
              </w:rPr>
              <w:t>Sanitize-and-Parse (SAP) Regex Engine</w:t>
            </w:r>
          </w:p>
        </w:tc>
        <w:tc>
          <w:tcPr>
            <w:tcW w:type="dxa" w:w="1170"/>
            <w:shd w:fill="FFF5F5"/>
            <w:tcMar>
              <w:top w:w="60" w:type="dxa"/>
              <w:bottom w:w="60" w:type="dxa"/>
              <w:left w:w="80" w:type="dxa"/>
              <w:right w:w="80" w:type="dxa"/>
            </w:tcMar>
          </w:tcPr>
          <w:p>
            <w:r>
              <w:rPr>
                <w:rFonts w:ascii="Times New Roman" w:hAnsi="Times New Roman"/>
                <w:b/>
                <w:sz w:val="18"/>
              </w:rPr>
              <w:t>B</w:t>
            </w:r>
          </w:p>
        </w:tc>
        <w:tc>
          <w:tcPr>
            <w:tcW w:type="dxa" w:w="1170"/>
            <w:shd w:fill="FFF5F5"/>
            <w:tcMar>
              <w:top w:w="60" w:type="dxa"/>
              <w:bottom w:w="60" w:type="dxa"/>
              <w:left w:w="80" w:type="dxa"/>
              <w:right w:w="80" w:type="dxa"/>
            </w:tcMar>
          </w:tcPr>
          <w:p>
            <w:r>
              <w:rPr>
                <w:rFonts w:ascii="Times New Roman" w:hAnsi="Times New Roman"/>
                <w:b/>
                <w:sz w:val="18"/>
              </w:rPr>
              <w:t>1.0</w:t>
            </w:r>
          </w:p>
        </w:tc>
        <w:tc>
          <w:tcPr>
            <w:tcW w:type="dxa" w:w="1170"/>
            <w:shd w:fill="FFF5F5"/>
            <w:tcMar>
              <w:top w:w="60" w:type="dxa"/>
              <w:bottom w:w="60" w:type="dxa"/>
              <w:left w:w="80" w:type="dxa"/>
              <w:right w:w="80" w:type="dxa"/>
            </w:tcMar>
          </w:tcPr>
          <w:p>
            <w:r>
              <w:rPr>
                <w:rFonts w:ascii="Times New Roman" w:hAnsi="Times New Roman"/>
                <w:b/>
                <w:sz w:val="18"/>
              </w:rPr>
              <w:t>1.5</w:t>
            </w:r>
          </w:p>
        </w:tc>
        <w:tc>
          <w:tcPr>
            <w:tcW w:type="dxa" w:w="1170"/>
            <w:shd w:fill="FFF5F5"/>
            <w:tcMar>
              <w:top w:w="60" w:type="dxa"/>
              <w:bottom w:w="60" w:type="dxa"/>
              <w:left w:w="80" w:type="dxa"/>
              <w:right w:w="80" w:type="dxa"/>
            </w:tcMar>
          </w:tcPr>
          <w:p>
            <w:r>
              <w:rPr>
                <w:rFonts w:ascii="Times New Roman" w:hAnsi="Times New Roman"/>
                <w:b/>
                <w:sz w:val="18"/>
              </w:rPr>
              <w:t>2.0</w:t>
            </w:r>
          </w:p>
        </w:tc>
        <w:tc>
          <w:tcPr>
            <w:tcW w:type="dxa" w:w="1170"/>
            <w:shd w:fill="FFF5F5"/>
            <w:tcMar>
              <w:top w:w="60" w:type="dxa"/>
              <w:bottom w:w="60" w:type="dxa"/>
              <w:left w:w="80" w:type="dxa"/>
              <w:right w:w="80" w:type="dxa"/>
            </w:tcMar>
          </w:tcPr>
          <w:p>
            <w:r>
              <w:rPr>
                <w:rFonts w:ascii="Times New Roman" w:hAnsi="Times New Roman"/>
                <w:b/>
                <w:sz w:val="18"/>
              </w:rPr>
              <w:t>1.50</w:t>
            </w:r>
          </w:p>
        </w:tc>
        <w:tc>
          <w:tcPr>
            <w:tcW w:type="dxa" w:w="1170"/>
            <w:shd w:fill="FFF5F5"/>
            <w:tcMar>
              <w:top w:w="60" w:type="dxa"/>
              <w:bottom w:w="60" w:type="dxa"/>
              <w:left w:w="80" w:type="dxa"/>
              <w:right w:w="80" w:type="dxa"/>
            </w:tcMar>
          </w:tcPr>
          <w:p>
            <w:r>
              <w:rPr>
                <w:rFonts w:ascii="Times New Roman" w:hAnsi="Times New Roman"/>
                <w:b/>
                <w:color w:val="C53030"/>
                <w:sz w:val="18"/>
              </w:rPr>
              <w:t>YES (Critical)</w:t>
            </w:r>
          </w:p>
        </w:tc>
      </w:tr>
      <w:tr>
        <w:tc>
          <w:tcPr>
            <w:tcW w:type="dxa" w:w="1170"/>
            <w:shd w:fill="FFFFFF"/>
            <w:tcMar>
              <w:top w:w="60" w:type="dxa"/>
              <w:bottom w:w="60" w:type="dxa"/>
              <w:left w:w="80" w:type="dxa"/>
              <w:right w:w="80" w:type="dxa"/>
            </w:tcMar>
          </w:tcPr>
          <w:p>
            <w:r>
              <w:rPr>
                <w:rFonts w:ascii="Times New Roman" w:hAnsi="Times New Roman"/>
                <w:sz w:val="18"/>
              </w:rPr>
              <w:t>D</w:t>
            </w:r>
          </w:p>
        </w:tc>
        <w:tc>
          <w:tcPr>
            <w:tcW w:type="dxa" w:w="1170"/>
            <w:shd w:fill="FFFFFF"/>
            <w:tcMar>
              <w:top w:w="60" w:type="dxa"/>
              <w:bottom w:w="60" w:type="dxa"/>
              <w:left w:w="80" w:type="dxa"/>
              <w:right w:w="80" w:type="dxa"/>
            </w:tcMar>
          </w:tcPr>
          <w:p>
            <w:r>
              <w:rPr>
                <w:rFonts w:ascii="Times New Roman" w:hAnsi="Times New Roman"/>
                <w:sz w:val="18"/>
              </w:rPr>
              <w:t>Chittorgarh IPO &amp; GMP Calculation Module</w:t>
            </w:r>
          </w:p>
        </w:tc>
        <w:tc>
          <w:tcPr>
            <w:tcW w:type="dxa" w:w="1170"/>
            <w:shd w:fill="FFFFFF"/>
            <w:tcMar>
              <w:top w:w="60" w:type="dxa"/>
              <w:bottom w:w="60" w:type="dxa"/>
              <w:left w:w="80" w:type="dxa"/>
              <w:right w:w="80" w:type="dxa"/>
            </w:tcMar>
          </w:tcPr>
          <w:p>
            <w:r>
              <w:rPr>
                <w:rFonts w:ascii="Times New Roman" w:hAnsi="Times New Roman"/>
                <w:sz w:val="18"/>
              </w:rPr>
              <w:t>B</w:t>
            </w:r>
          </w:p>
        </w:tc>
        <w:tc>
          <w:tcPr>
            <w:tcW w:type="dxa" w:w="1170"/>
            <w:shd w:fill="FFFFFF"/>
            <w:tcMar>
              <w:top w:w="60" w:type="dxa"/>
              <w:bottom w:w="60" w:type="dxa"/>
              <w:left w:w="80" w:type="dxa"/>
              <w:right w:w="80" w:type="dxa"/>
            </w:tcMar>
          </w:tcPr>
          <w:p>
            <w:r>
              <w:rPr>
                <w:rFonts w:ascii="Times New Roman" w:hAnsi="Times New Roman"/>
                <w:sz w:val="18"/>
              </w:rPr>
              <w:t>1.0</w:t>
            </w:r>
          </w:p>
        </w:tc>
        <w:tc>
          <w:tcPr>
            <w:tcW w:type="dxa" w:w="1170"/>
            <w:shd w:fill="FFFFFF"/>
            <w:tcMar>
              <w:top w:w="60" w:type="dxa"/>
              <w:bottom w:w="60" w:type="dxa"/>
              <w:left w:w="80" w:type="dxa"/>
              <w:right w:w="80" w:type="dxa"/>
            </w:tcMar>
          </w:tcPr>
          <w:p>
            <w:r>
              <w:rPr>
                <w:rFonts w:ascii="Times New Roman" w:hAnsi="Times New Roman"/>
                <w:sz w:val="18"/>
              </w:rPr>
              <w:t>2.0</w:t>
            </w:r>
          </w:p>
        </w:tc>
        <w:tc>
          <w:tcPr>
            <w:tcW w:type="dxa" w:w="1170"/>
            <w:shd w:fill="FFFFFF"/>
            <w:tcMar>
              <w:top w:w="60" w:type="dxa"/>
              <w:bottom w:w="60" w:type="dxa"/>
              <w:left w:w="80" w:type="dxa"/>
              <w:right w:w="80" w:type="dxa"/>
            </w:tcMar>
          </w:tcPr>
          <w:p>
            <w:r>
              <w:rPr>
                <w:rFonts w:ascii="Times New Roman" w:hAnsi="Times New Roman"/>
                <w:sz w:val="18"/>
              </w:rPr>
              <w:t>3.0</w:t>
            </w:r>
          </w:p>
        </w:tc>
        <w:tc>
          <w:tcPr>
            <w:tcW w:type="dxa" w:w="1170"/>
            <w:shd w:fill="FFFFFF"/>
            <w:tcMar>
              <w:top w:w="60" w:type="dxa"/>
              <w:bottom w:w="60" w:type="dxa"/>
              <w:left w:w="80" w:type="dxa"/>
              <w:right w:w="80" w:type="dxa"/>
            </w:tcMar>
          </w:tcPr>
          <w:p>
            <w:r>
              <w:rPr>
                <w:rFonts w:ascii="Times New Roman" w:hAnsi="Times New Roman"/>
                <w:sz w:val="18"/>
              </w:rPr>
              <w:t>2.00</w:t>
            </w:r>
          </w:p>
        </w:tc>
        <w:tc>
          <w:tcPr>
            <w:tcW w:type="dxa" w:w="1170"/>
            <w:shd w:fill="FFFFFF"/>
            <w:tcMar>
              <w:top w:w="60" w:type="dxa"/>
              <w:bottom w:w="60" w:type="dxa"/>
              <w:left w:w="80" w:type="dxa"/>
              <w:right w:w="80" w:type="dxa"/>
            </w:tcMar>
          </w:tcPr>
          <w:p>
            <w:r>
              <w:rPr>
                <w:rFonts w:ascii="Times New Roman" w:hAnsi="Times New Roman"/>
                <w:sz w:val="18"/>
              </w:rPr>
              <w:t>NO (Slack 1.5w)</w:t>
            </w:r>
          </w:p>
        </w:tc>
      </w:tr>
      <w:tr>
        <w:tc>
          <w:tcPr>
            <w:tcW w:type="dxa" w:w="1170"/>
            <w:shd w:fill="FFF5F5"/>
            <w:tcMar>
              <w:top w:w="60" w:type="dxa"/>
              <w:bottom w:w="60" w:type="dxa"/>
              <w:left w:w="80" w:type="dxa"/>
              <w:right w:w="80" w:type="dxa"/>
            </w:tcMar>
          </w:tcPr>
          <w:p>
            <w:r>
              <w:rPr>
                <w:rFonts w:ascii="Times New Roman" w:hAnsi="Times New Roman"/>
                <w:b/>
                <w:sz w:val="18"/>
              </w:rPr>
              <w:t>E</w:t>
            </w:r>
          </w:p>
        </w:tc>
        <w:tc>
          <w:tcPr>
            <w:tcW w:type="dxa" w:w="1170"/>
            <w:shd w:fill="FFF5F5"/>
            <w:tcMar>
              <w:top w:w="60" w:type="dxa"/>
              <w:bottom w:w="60" w:type="dxa"/>
              <w:left w:w="80" w:type="dxa"/>
              <w:right w:w="80" w:type="dxa"/>
            </w:tcMar>
          </w:tcPr>
          <w:p>
            <w:r>
              <w:rPr>
                <w:rFonts w:ascii="Times New Roman" w:hAnsi="Times New Roman"/>
                <w:b/>
                <w:sz w:val="18"/>
              </w:rPr>
              <w:t>AI Causal DAG Graph &amp; Topological Engine</w:t>
            </w:r>
          </w:p>
        </w:tc>
        <w:tc>
          <w:tcPr>
            <w:tcW w:type="dxa" w:w="1170"/>
            <w:shd w:fill="FFF5F5"/>
            <w:tcMar>
              <w:top w:w="60" w:type="dxa"/>
              <w:bottom w:w="60" w:type="dxa"/>
              <w:left w:w="80" w:type="dxa"/>
              <w:right w:w="80" w:type="dxa"/>
            </w:tcMar>
          </w:tcPr>
          <w:p>
            <w:r>
              <w:rPr>
                <w:rFonts w:ascii="Times New Roman" w:hAnsi="Times New Roman"/>
                <w:b/>
                <w:sz w:val="18"/>
              </w:rPr>
              <w:t>C</w:t>
            </w:r>
          </w:p>
        </w:tc>
        <w:tc>
          <w:tcPr>
            <w:tcW w:type="dxa" w:w="1170"/>
            <w:shd w:fill="FFF5F5"/>
            <w:tcMar>
              <w:top w:w="60" w:type="dxa"/>
              <w:bottom w:w="60" w:type="dxa"/>
              <w:left w:w="80" w:type="dxa"/>
              <w:right w:w="80" w:type="dxa"/>
            </w:tcMar>
          </w:tcPr>
          <w:p>
            <w:r>
              <w:rPr>
                <w:rFonts w:ascii="Times New Roman" w:hAnsi="Times New Roman"/>
                <w:b/>
                <w:sz w:val="18"/>
              </w:rPr>
              <w:t>2.0</w:t>
            </w:r>
          </w:p>
        </w:tc>
        <w:tc>
          <w:tcPr>
            <w:tcW w:type="dxa" w:w="1170"/>
            <w:shd w:fill="FFF5F5"/>
            <w:tcMar>
              <w:top w:w="60" w:type="dxa"/>
              <w:bottom w:w="60" w:type="dxa"/>
              <w:left w:w="80" w:type="dxa"/>
              <w:right w:w="80" w:type="dxa"/>
            </w:tcMar>
          </w:tcPr>
          <w:p>
            <w:r>
              <w:rPr>
                <w:rFonts w:ascii="Times New Roman" w:hAnsi="Times New Roman"/>
                <w:b/>
                <w:sz w:val="18"/>
              </w:rPr>
              <w:t>3.0</w:t>
            </w:r>
          </w:p>
        </w:tc>
        <w:tc>
          <w:tcPr>
            <w:tcW w:type="dxa" w:w="1170"/>
            <w:shd w:fill="FFF5F5"/>
            <w:tcMar>
              <w:top w:w="60" w:type="dxa"/>
              <w:bottom w:w="60" w:type="dxa"/>
              <w:left w:w="80" w:type="dxa"/>
              <w:right w:w="80" w:type="dxa"/>
            </w:tcMar>
          </w:tcPr>
          <w:p>
            <w:r>
              <w:rPr>
                <w:rFonts w:ascii="Times New Roman" w:hAnsi="Times New Roman"/>
                <w:b/>
                <w:sz w:val="18"/>
              </w:rPr>
              <w:t>5.0</w:t>
            </w:r>
          </w:p>
        </w:tc>
        <w:tc>
          <w:tcPr>
            <w:tcW w:type="dxa" w:w="1170"/>
            <w:shd w:fill="FFF5F5"/>
            <w:tcMar>
              <w:top w:w="60" w:type="dxa"/>
              <w:bottom w:w="60" w:type="dxa"/>
              <w:left w:w="80" w:type="dxa"/>
              <w:right w:w="80" w:type="dxa"/>
            </w:tcMar>
          </w:tcPr>
          <w:p>
            <w:r>
              <w:rPr>
                <w:rFonts w:ascii="Times New Roman" w:hAnsi="Times New Roman"/>
                <w:b/>
                <w:sz w:val="18"/>
              </w:rPr>
              <w:t>3.17</w:t>
            </w:r>
          </w:p>
        </w:tc>
        <w:tc>
          <w:tcPr>
            <w:tcW w:type="dxa" w:w="1170"/>
            <w:shd w:fill="FFF5F5"/>
            <w:tcMar>
              <w:top w:w="60" w:type="dxa"/>
              <w:bottom w:w="60" w:type="dxa"/>
              <w:left w:w="80" w:type="dxa"/>
              <w:right w:w="80" w:type="dxa"/>
            </w:tcMar>
          </w:tcPr>
          <w:p>
            <w:r>
              <w:rPr>
                <w:rFonts w:ascii="Times New Roman" w:hAnsi="Times New Roman"/>
                <w:b/>
                <w:color w:val="C53030"/>
                <w:sz w:val="18"/>
              </w:rPr>
              <w:t>YES (Critical)</w:t>
            </w:r>
          </w:p>
        </w:tc>
      </w:tr>
      <w:tr>
        <w:tc>
          <w:tcPr>
            <w:tcW w:type="dxa" w:w="1170"/>
            <w:shd w:fill="FFFFFF"/>
            <w:tcMar>
              <w:top w:w="60" w:type="dxa"/>
              <w:bottom w:w="60" w:type="dxa"/>
              <w:left w:w="80" w:type="dxa"/>
              <w:right w:w="80" w:type="dxa"/>
            </w:tcMar>
          </w:tcPr>
          <w:p>
            <w:r>
              <w:rPr>
                <w:rFonts w:ascii="Times New Roman" w:hAnsi="Times New Roman"/>
                <w:sz w:val="18"/>
              </w:rPr>
              <w:t>F</w:t>
            </w:r>
          </w:p>
        </w:tc>
        <w:tc>
          <w:tcPr>
            <w:tcW w:type="dxa" w:w="1170"/>
            <w:shd w:fill="FFFFFF"/>
            <w:tcMar>
              <w:top w:w="60" w:type="dxa"/>
              <w:bottom w:w="60" w:type="dxa"/>
              <w:left w:w="80" w:type="dxa"/>
              <w:right w:w="80" w:type="dxa"/>
            </w:tcMar>
          </w:tcPr>
          <w:p>
            <w:r>
              <w:rPr>
                <w:rFonts w:ascii="Times New Roman" w:hAnsi="Times New Roman"/>
                <w:sz w:val="18"/>
              </w:rPr>
              <w:t>Dynamic Stock Inspector &amp; Candlestick Charts</w:t>
            </w:r>
          </w:p>
        </w:tc>
        <w:tc>
          <w:tcPr>
            <w:tcW w:type="dxa" w:w="1170"/>
            <w:shd w:fill="FFFFFF"/>
            <w:tcMar>
              <w:top w:w="60" w:type="dxa"/>
              <w:bottom w:w="60" w:type="dxa"/>
              <w:left w:w="80" w:type="dxa"/>
              <w:right w:w="80" w:type="dxa"/>
            </w:tcMar>
          </w:tcPr>
          <w:p>
            <w:r>
              <w:rPr>
                <w:rFonts w:ascii="Times New Roman" w:hAnsi="Times New Roman"/>
                <w:sz w:val="18"/>
              </w:rPr>
              <w:t>C</w:t>
            </w:r>
          </w:p>
        </w:tc>
        <w:tc>
          <w:tcPr>
            <w:tcW w:type="dxa" w:w="1170"/>
            <w:shd w:fill="FFFFFF"/>
            <w:tcMar>
              <w:top w:w="60" w:type="dxa"/>
              <w:bottom w:w="60" w:type="dxa"/>
              <w:left w:w="80" w:type="dxa"/>
              <w:right w:w="80" w:type="dxa"/>
            </w:tcMar>
          </w:tcPr>
          <w:p>
            <w:r>
              <w:rPr>
                <w:rFonts w:ascii="Times New Roman" w:hAnsi="Times New Roman"/>
                <w:sz w:val="18"/>
              </w:rPr>
              <w:t>1.5</w:t>
            </w:r>
          </w:p>
        </w:tc>
        <w:tc>
          <w:tcPr>
            <w:tcW w:type="dxa" w:w="1170"/>
            <w:shd w:fill="FFFFFF"/>
            <w:tcMar>
              <w:top w:w="60" w:type="dxa"/>
              <w:bottom w:w="60" w:type="dxa"/>
              <w:left w:w="80" w:type="dxa"/>
              <w:right w:w="80" w:type="dxa"/>
            </w:tcMar>
          </w:tcPr>
          <w:p>
            <w:r>
              <w:rPr>
                <w:rFonts w:ascii="Times New Roman" w:hAnsi="Times New Roman"/>
                <w:sz w:val="18"/>
              </w:rPr>
              <w:t>2.0</w:t>
            </w:r>
          </w:p>
        </w:tc>
        <w:tc>
          <w:tcPr>
            <w:tcW w:type="dxa" w:w="1170"/>
            <w:shd w:fill="FFFFFF"/>
            <w:tcMar>
              <w:top w:w="60" w:type="dxa"/>
              <w:bottom w:w="60" w:type="dxa"/>
              <w:left w:w="80" w:type="dxa"/>
              <w:right w:w="80" w:type="dxa"/>
            </w:tcMar>
          </w:tcPr>
          <w:p>
            <w:r>
              <w:rPr>
                <w:rFonts w:ascii="Times New Roman" w:hAnsi="Times New Roman"/>
                <w:sz w:val="18"/>
              </w:rPr>
              <w:t>3.5</w:t>
            </w:r>
          </w:p>
        </w:tc>
        <w:tc>
          <w:tcPr>
            <w:tcW w:type="dxa" w:w="1170"/>
            <w:shd w:fill="FFFFFF"/>
            <w:tcMar>
              <w:top w:w="60" w:type="dxa"/>
              <w:bottom w:w="60" w:type="dxa"/>
              <w:left w:w="80" w:type="dxa"/>
              <w:right w:w="80" w:type="dxa"/>
            </w:tcMar>
          </w:tcPr>
          <w:p>
            <w:r>
              <w:rPr>
                <w:rFonts w:ascii="Times New Roman" w:hAnsi="Times New Roman"/>
                <w:sz w:val="18"/>
              </w:rPr>
              <w:t>2.17</w:t>
            </w:r>
          </w:p>
        </w:tc>
        <w:tc>
          <w:tcPr>
            <w:tcW w:type="dxa" w:w="1170"/>
            <w:shd w:fill="FFFFFF"/>
            <w:tcMar>
              <w:top w:w="60" w:type="dxa"/>
              <w:bottom w:w="60" w:type="dxa"/>
              <w:left w:w="80" w:type="dxa"/>
              <w:right w:w="80" w:type="dxa"/>
            </w:tcMar>
          </w:tcPr>
          <w:p>
            <w:r>
              <w:rPr>
                <w:rFonts w:ascii="Times New Roman" w:hAnsi="Times New Roman"/>
                <w:sz w:val="18"/>
              </w:rPr>
              <w:t>NO (Slack 1.0w)</w:t>
            </w:r>
          </w:p>
        </w:tc>
      </w:tr>
      <w:tr>
        <w:tc>
          <w:tcPr>
            <w:tcW w:type="dxa" w:w="1170"/>
            <w:shd w:fill="F9FAFB"/>
            <w:tcMar>
              <w:top w:w="60" w:type="dxa"/>
              <w:bottom w:w="60" w:type="dxa"/>
              <w:left w:w="80" w:type="dxa"/>
              <w:right w:w="80" w:type="dxa"/>
            </w:tcMar>
          </w:tcPr>
          <w:p>
            <w:r>
              <w:rPr>
                <w:rFonts w:ascii="Times New Roman" w:hAnsi="Times New Roman"/>
                <w:sz w:val="18"/>
              </w:rPr>
              <w:t>G</w:t>
            </w:r>
          </w:p>
        </w:tc>
        <w:tc>
          <w:tcPr>
            <w:tcW w:type="dxa" w:w="1170"/>
            <w:shd w:fill="F9FAFB"/>
            <w:tcMar>
              <w:top w:w="60" w:type="dxa"/>
              <w:bottom w:w="60" w:type="dxa"/>
              <w:left w:w="80" w:type="dxa"/>
              <w:right w:w="80" w:type="dxa"/>
            </w:tcMar>
          </w:tcPr>
          <w:p>
            <w:r>
              <w:rPr>
                <w:rFonts w:ascii="Times New Roman" w:hAnsi="Times New Roman"/>
                <w:sz w:val="18"/>
              </w:rPr>
              <w:t>Enterprise Alert Bus &amp; Glassmorphism UI</w:t>
            </w:r>
          </w:p>
        </w:tc>
        <w:tc>
          <w:tcPr>
            <w:tcW w:type="dxa" w:w="1170"/>
            <w:shd w:fill="F9FAFB"/>
            <w:tcMar>
              <w:top w:w="60" w:type="dxa"/>
              <w:bottom w:w="60" w:type="dxa"/>
              <w:left w:w="80" w:type="dxa"/>
              <w:right w:w="80" w:type="dxa"/>
            </w:tcMar>
          </w:tcPr>
          <w:p>
            <w:r>
              <w:rPr>
                <w:rFonts w:ascii="Times New Roman" w:hAnsi="Times New Roman"/>
                <w:sz w:val="18"/>
              </w:rPr>
              <w:t>D, F</w:t>
            </w:r>
          </w:p>
        </w:tc>
        <w:tc>
          <w:tcPr>
            <w:tcW w:type="dxa" w:w="1170"/>
            <w:shd w:fill="F9FAFB"/>
            <w:tcMar>
              <w:top w:w="60" w:type="dxa"/>
              <w:bottom w:w="60" w:type="dxa"/>
              <w:left w:w="80" w:type="dxa"/>
              <w:right w:w="80" w:type="dxa"/>
            </w:tcMar>
          </w:tcPr>
          <w:p>
            <w:r>
              <w:rPr>
                <w:rFonts w:ascii="Times New Roman" w:hAnsi="Times New Roman"/>
                <w:sz w:val="18"/>
              </w:rPr>
              <w:t>1.0</w:t>
            </w:r>
          </w:p>
        </w:tc>
        <w:tc>
          <w:tcPr>
            <w:tcW w:type="dxa" w:w="1170"/>
            <w:shd w:fill="F9FAFB"/>
            <w:tcMar>
              <w:top w:w="60" w:type="dxa"/>
              <w:bottom w:w="60" w:type="dxa"/>
              <w:left w:w="80" w:type="dxa"/>
              <w:right w:w="80" w:type="dxa"/>
            </w:tcMar>
          </w:tcPr>
          <w:p>
            <w:r>
              <w:rPr>
                <w:rFonts w:ascii="Times New Roman" w:hAnsi="Times New Roman"/>
                <w:sz w:val="18"/>
              </w:rPr>
              <w:t>1.5</w:t>
            </w:r>
          </w:p>
        </w:tc>
        <w:tc>
          <w:tcPr>
            <w:tcW w:type="dxa" w:w="1170"/>
            <w:shd w:fill="F9FAFB"/>
            <w:tcMar>
              <w:top w:w="60" w:type="dxa"/>
              <w:bottom w:w="60" w:type="dxa"/>
              <w:left w:w="80" w:type="dxa"/>
              <w:right w:w="80" w:type="dxa"/>
            </w:tcMar>
          </w:tcPr>
          <w:p>
            <w:r>
              <w:rPr>
                <w:rFonts w:ascii="Times New Roman" w:hAnsi="Times New Roman"/>
                <w:sz w:val="18"/>
              </w:rPr>
              <w:t>2.0</w:t>
            </w:r>
          </w:p>
        </w:tc>
        <w:tc>
          <w:tcPr>
            <w:tcW w:type="dxa" w:w="1170"/>
            <w:shd w:fill="F9FAFB"/>
            <w:tcMar>
              <w:top w:w="60" w:type="dxa"/>
              <w:bottom w:w="60" w:type="dxa"/>
              <w:left w:w="80" w:type="dxa"/>
              <w:right w:w="80" w:type="dxa"/>
            </w:tcMar>
          </w:tcPr>
          <w:p>
            <w:r>
              <w:rPr>
                <w:rFonts w:ascii="Times New Roman" w:hAnsi="Times New Roman"/>
                <w:sz w:val="18"/>
              </w:rPr>
              <w:t>1.50</w:t>
            </w:r>
          </w:p>
        </w:tc>
        <w:tc>
          <w:tcPr>
            <w:tcW w:type="dxa" w:w="1170"/>
            <w:shd w:fill="F9FAFB"/>
            <w:tcMar>
              <w:top w:w="60" w:type="dxa"/>
              <w:bottom w:w="60" w:type="dxa"/>
              <w:left w:w="80" w:type="dxa"/>
              <w:right w:w="80" w:type="dxa"/>
            </w:tcMar>
          </w:tcPr>
          <w:p>
            <w:r>
              <w:rPr>
                <w:rFonts w:ascii="Times New Roman" w:hAnsi="Times New Roman"/>
                <w:sz w:val="18"/>
              </w:rPr>
              <w:t>NO (Slack 1.0w)</w:t>
            </w:r>
          </w:p>
        </w:tc>
      </w:tr>
      <w:tr>
        <w:tc>
          <w:tcPr>
            <w:tcW w:type="dxa" w:w="1170"/>
            <w:shd w:fill="FFF5F5"/>
            <w:tcMar>
              <w:top w:w="60" w:type="dxa"/>
              <w:bottom w:w="60" w:type="dxa"/>
              <w:left w:w="80" w:type="dxa"/>
              <w:right w:w="80" w:type="dxa"/>
            </w:tcMar>
          </w:tcPr>
          <w:p>
            <w:r>
              <w:rPr>
                <w:rFonts w:ascii="Times New Roman" w:hAnsi="Times New Roman"/>
                <w:b/>
                <w:sz w:val="18"/>
              </w:rPr>
              <w:t>H</w:t>
            </w:r>
          </w:p>
        </w:tc>
        <w:tc>
          <w:tcPr>
            <w:tcW w:type="dxa" w:w="1170"/>
            <w:shd w:fill="FFF5F5"/>
            <w:tcMar>
              <w:top w:w="60" w:type="dxa"/>
              <w:bottom w:w="60" w:type="dxa"/>
              <w:left w:w="80" w:type="dxa"/>
              <w:right w:w="80" w:type="dxa"/>
            </w:tcMar>
          </w:tcPr>
          <w:p>
            <w:r>
              <w:rPr>
                <w:rFonts w:ascii="Times New Roman" w:hAnsi="Times New Roman"/>
                <w:b/>
                <w:sz w:val="18"/>
              </w:rPr>
              <w:t>System Integration, Stress Testing &amp; Deploy</w:t>
            </w:r>
          </w:p>
        </w:tc>
        <w:tc>
          <w:tcPr>
            <w:tcW w:type="dxa" w:w="1170"/>
            <w:shd w:fill="FFF5F5"/>
            <w:tcMar>
              <w:top w:w="60" w:type="dxa"/>
              <w:bottom w:w="60" w:type="dxa"/>
              <w:left w:w="80" w:type="dxa"/>
              <w:right w:w="80" w:type="dxa"/>
            </w:tcMar>
          </w:tcPr>
          <w:p>
            <w:r>
              <w:rPr>
                <w:rFonts w:ascii="Times New Roman" w:hAnsi="Times New Roman"/>
                <w:b/>
                <w:sz w:val="18"/>
              </w:rPr>
              <w:t>E, G</w:t>
            </w:r>
          </w:p>
        </w:tc>
        <w:tc>
          <w:tcPr>
            <w:tcW w:type="dxa" w:w="1170"/>
            <w:shd w:fill="FFF5F5"/>
            <w:tcMar>
              <w:top w:w="60" w:type="dxa"/>
              <w:bottom w:w="60" w:type="dxa"/>
              <w:left w:w="80" w:type="dxa"/>
              <w:right w:w="80" w:type="dxa"/>
            </w:tcMar>
          </w:tcPr>
          <w:p>
            <w:r>
              <w:rPr>
                <w:rFonts w:ascii="Times New Roman" w:hAnsi="Times New Roman"/>
                <w:b/>
                <w:sz w:val="18"/>
              </w:rPr>
              <w:t>1.5</w:t>
            </w:r>
          </w:p>
        </w:tc>
        <w:tc>
          <w:tcPr>
            <w:tcW w:type="dxa" w:w="1170"/>
            <w:shd w:fill="FFF5F5"/>
            <w:tcMar>
              <w:top w:w="60" w:type="dxa"/>
              <w:bottom w:w="60" w:type="dxa"/>
              <w:left w:w="80" w:type="dxa"/>
              <w:right w:w="80" w:type="dxa"/>
            </w:tcMar>
          </w:tcPr>
          <w:p>
            <w:r>
              <w:rPr>
                <w:rFonts w:ascii="Times New Roman" w:hAnsi="Times New Roman"/>
                <w:b/>
                <w:sz w:val="18"/>
              </w:rPr>
              <w:t>2.0</w:t>
            </w:r>
          </w:p>
        </w:tc>
        <w:tc>
          <w:tcPr>
            <w:tcW w:type="dxa" w:w="1170"/>
            <w:shd w:fill="FFF5F5"/>
            <w:tcMar>
              <w:top w:w="60" w:type="dxa"/>
              <w:bottom w:w="60" w:type="dxa"/>
              <w:left w:w="80" w:type="dxa"/>
              <w:right w:w="80" w:type="dxa"/>
            </w:tcMar>
          </w:tcPr>
          <w:p>
            <w:r>
              <w:rPr>
                <w:rFonts w:ascii="Times New Roman" w:hAnsi="Times New Roman"/>
                <w:b/>
                <w:sz w:val="18"/>
              </w:rPr>
              <w:t>3.0</w:t>
            </w:r>
          </w:p>
        </w:tc>
        <w:tc>
          <w:tcPr>
            <w:tcW w:type="dxa" w:w="1170"/>
            <w:shd w:fill="FFF5F5"/>
            <w:tcMar>
              <w:top w:w="60" w:type="dxa"/>
              <w:bottom w:w="60" w:type="dxa"/>
              <w:left w:w="80" w:type="dxa"/>
              <w:right w:w="80" w:type="dxa"/>
            </w:tcMar>
          </w:tcPr>
          <w:p>
            <w:r>
              <w:rPr>
                <w:rFonts w:ascii="Times New Roman" w:hAnsi="Times New Roman"/>
                <w:b/>
                <w:sz w:val="18"/>
              </w:rPr>
              <w:t>2.07</w:t>
            </w:r>
          </w:p>
        </w:tc>
        <w:tc>
          <w:tcPr>
            <w:tcW w:type="dxa" w:w="1170"/>
            <w:shd w:fill="FFF5F5"/>
            <w:tcMar>
              <w:top w:w="60" w:type="dxa"/>
              <w:bottom w:w="60" w:type="dxa"/>
              <w:left w:w="80" w:type="dxa"/>
              <w:right w:w="80" w:type="dxa"/>
            </w:tcMar>
          </w:tcPr>
          <w:p>
            <w:r>
              <w:rPr>
                <w:rFonts w:ascii="Times New Roman" w:hAnsi="Times New Roman"/>
                <w:b/>
                <w:color w:val="C53030"/>
                <w:sz w:val="18"/>
              </w:rPr>
              <w:t>YES (Critical)</w:t>
            </w:r>
          </w:p>
        </w:tc>
      </w:tr>
    </w:tbl>
    <w:p w:rsidR="00000000" w:rsidDel="00000000" w:rsidP="00000000" w:rsidRDefault="00000000" w:rsidRPr="00000000" w14:paraId="000000BB">
      <w:pPr>
        <w:keepNext/>
        <w:spacing w:after="120" w:before="320" w:lineRule="auto" w:line="276"/>
        <w:jc w:val="left"/>
        <w:rPr/>
      </w:pPr>
      <w:r w:rsidDel="00000000" w:rsidR="00000000" w:rsidRPr="00000000">
        <w:rPr>
          <w:rFonts w:ascii="Times New Roman" w:cs="Times New Roman" w:eastAsia="Times New Roman" w:hAnsi="Times New Roman"/>
          <w:b/>
          <w:bCs w:val="1"/>
          <w:color w:val="002060"/>
          <w:sz w:val="28"/>
          <w:szCs w:val="28"/>
          <w:rtl w:val="0"/>
        </w:rPr>
        <w:t xml:space="preserve">3. SYSTEM REQUIREMENTS</w:t>
      </w:r>
      <w:r w:rsidDel="00000000" w:rsidR="00000000" w:rsidRPr="00000000">
        <w:rPr>
          <w:rFonts w:ascii="Times New Roman" w:hAnsi="Times New Roman"/>
          <w:b/>
          <w:color w:val="002060"/>
          <w:sz w:val="28"/>
          <w:rtl w:val="0"/>
        </w:rPr>
      </w:r>
    </w:p>
    <w:p w:rsidR="00000000" w:rsidDel="00000000" w:rsidP="00000000" w:rsidRDefault="00000000" w:rsidRPr="00000000" w14:paraId="000000BC">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3.1 User Interface</w:t>
      </w:r>
      <w:r w:rsidDel="00000000" w:rsidR="00000000" w:rsidRPr="00000000">
        <w:rPr>
          <w:rFonts w:ascii="Times New Roman" w:hAnsi="Times New Roman"/>
          <w:b/>
          <w:color w:val="004080"/>
          <w:sz w:val="24"/>
          <w:rtl w:val="0"/>
        </w:rPr>
      </w:r>
    </w:p>
    <w:p w:rsidR="00000000" w:rsidDel="00000000" w:rsidP="00000000" w:rsidRDefault="00000000" w:rsidRPr="00000000" w14:paraId="000000BD">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Responsive glassmorphism dark/light UI built with Tailwind CSS v3, custom SVG brand identity, and Lucide vector iconography.</w:t>
      </w:r>
      <w:r w:rsidDel="00000000" w:rsidR="00000000" w:rsidRPr="00000000">
        <w:rPr>
          <w:rFonts w:ascii="Times New Roman" w:hAnsi="Times New Roman"/>
          <w:color w:val="333333"/>
          <w:sz w:val="24"/>
          <w:rtl w:val="0"/>
        </w:rPr>
      </w:r>
    </w:p>
    <w:p w:rsidR="00000000" w:rsidDel="00000000" w:rsidP="00000000" w:rsidRDefault="00000000" w:rsidRPr="00000000" w14:paraId="000000BE">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3.2 Software Interface</w:t>
      </w:r>
      <w:r w:rsidDel="00000000" w:rsidR="00000000" w:rsidRPr="00000000">
        <w:rPr>
          <w:rFonts w:ascii="Times New Roman" w:hAnsi="Times New Roman"/>
          <w:b/>
          <w:color w:val="004080"/>
          <w:sz w:val="24"/>
          <w:rtl w:val="0"/>
        </w:rPr>
      </w:r>
    </w:p>
    <w:p w:rsidR="00000000" w:rsidDel="00000000" w:rsidP="00000000" w:rsidRDefault="00000000" w:rsidRPr="00000000" w14:paraId="000000BF">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React 18 client architecture, Vite 8 build engine, TypeScript 5 static type system, and Leaflet GIS mapping.</w:t>
      </w:r>
      <w:r w:rsidDel="00000000" w:rsidR="00000000" w:rsidRPr="00000000">
        <w:rPr>
          <w:rFonts w:ascii="Times New Roman" w:hAnsi="Times New Roman"/>
          <w:color w:val="333333"/>
          <w:sz w:val="24"/>
          <w:rtl w:val="0"/>
        </w:rPr>
      </w:r>
    </w:p>
    <w:p w:rsidR="00000000" w:rsidDel="00000000" w:rsidP="00000000" w:rsidRDefault="00000000" w:rsidRPr="00000000" w14:paraId="000000C0">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3.3 Database Interface</w:t>
      </w:r>
      <w:r w:rsidDel="00000000" w:rsidR="00000000" w:rsidRPr="00000000">
        <w:rPr>
          <w:rFonts w:ascii="Times New Roman" w:hAnsi="Times New Roman"/>
          <w:b/>
          <w:color w:val="004080"/>
          <w:sz w:val="24"/>
          <w:rtl w:val="0"/>
        </w:rPr>
      </w:r>
    </w:p>
    <w:p w:rsidR="00000000" w:rsidDel="00000000" w:rsidP="00000000" w:rsidRDefault="00000000" w:rsidRPr="00000000" w14:paraId="000000C1">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Client-side persistent React state store, LocalStorage caching layer, and RESTful JSON payload structures.</w:t>
      </w:r>
      <w:r w:rsidDel="00000000" w:rsidR="00000000" w:rsidRPr="00000000">
        <w:rPr>
          <w:rFonts w:ascii="Times New Roman" w:hAnsi="Times New Roman"/>
          <w:color w:val="333333"/>
          <w:sz w:val="24"/>
          <w:rtl w:val="0"/>
        </w:rPr>
      </w:r>
    </w:p>
    <w:p w:rsidR="00000000" w:rsidDel="00000000" w:rsidP="00000000" w:rsidRDefault="00000000" w:rsidRPr="00000000" w14:paraId="000000C2">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3.4 Protocols</w:t>
      </w:r>
      <w:r w:rsidDel="00000000" w:rsidR="00000000" w:rsidRPr="00000000">
        <w:rPr>
          <w:rFonts w:ascii="Times New Roman" w:hAnsi="Times New Roman"/>
          <w:b/>
          <w:color w:val="004080"/>
          <w:sz w:val="24"/>
          <w:rtl w:val="0"/>
        </w:rPr>
      </w:r>
    </w:p>
    <w:p w:rsidR="00000000" w:rsidDel="00000000" w:rsidP="00000000" w:rsidRDefault="00000000" w:rsidRPr="00000000" w14:paraId="000000C3">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HTTPS / TLS 1.3 encryption over HTTP/2, RESTful JSON polling stream controllers.</w:t>
      </w:r>
      <w:r w:rsidDel="00000000" w:rsidR="00000000" w:rsidRPr="00000000">
        <w:rPr>
          <w:rFonts w:ascii="Times New Roman" w:hAnsi="Times New Roman"/>
          <w:color w:val="333333"/>
          <w:sz w:val="24"/>
          <w:rtl w:val="0"/>
        </w:rPr>
      </w:r>
    </w:p>
    <w:p w:rsidR="00000000" w:rsidDel="00000000" w:rsidP="00000000" w:rsidRDefault="00000000" w:rsidRPr="00000000" w14:paraId="000000C4">
      <w:pPr>
        <w:keepNext w:val="1"/>
        <w:spacing w:after="120" w:before="0" w:lineRule="auto" w:line="276"/>
        <w:jc w:val="both"/>
        <w:rPr/>
      </w:pPr>
      <w:r w:rsidDel="00000000" w:rsidR="00000000" w:rsidRPr="00000000">
        <w:rPr>
          <w:rFonts w:ascii="Times New Roman" w:cs="Times New Roman" w:eastAsia="Times New Roman" w:hAnsi="Times New Roman"/>
          <w:b w:val="1"/>
          <w:bCs w:val="1"/>
          <w:color w:val="333333"/>
          <w:sz w:val="24"/>
          <w:szCs w:val="28"/>
          <w:rtl w:val="0"/>
        </w:rPr>
        <w:t xml:space="preserve">4. NON-FUNCTIONAL REQUIREMENTS</w:t>
      </w:r>
      <w:r w:rsidDel="00000000" w:rsidR="00000000" w:rsidRPr="00000000">
        <w:rPr>
          <w:rFonts w:ascii="Times New Roman" w:hAnsi="Times New Roman"/>
          <w:color w:val="333333"/>
          <w:sz w:val="24"/>
          <w:rtl w:val="0"/>
        </w:rPr>
      </w:r>
    </w:p>
    <w:p w:rsidR="00000000" w:rsidDel="00000000" w:rsidP="00000000" w:rsidRDefault="00000000" w:rsidRPr="00000000" w14:paraId="000000C5">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4.1 Performance requirements</w:t>
      </w:r>
      <w:r w:rsidDel="00000000" w:rsidR="00000000" w:rsidRPr="00000000">
        <w:rPr>
          <w:rFonts w:ascii="Times New Roman" w:hAnsi="Times New Roman"/>
          <w:b/>
          <w:color w:val="004080"/>
          <w:sz w:val="24"/>
          <w:rtl w:val="0"/>
        </w:rPr>
      </w:r>
    </w:p>
    <w:p w:rsidR="00000000" w:rsidDel="00000000" w:rsidP="00000000" w:rsidRDefault="00000000" w:rsidRPr="00000000" w14:paraId="000000C6">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Production build compilation time under 600ms, sub-100ms UI interaction response, 8-second ticker polling cycle.</w:t>
      </w:r>
      <w:r w:rsidDel="00000000" w:rsidR="00000000" w:rsidRPr="00000000">
        <w:rPr>
          <w:rFonts w:ascii="Times New Roman" w:hAnsi="Times New Roman"/>
          <w:color w:val="333333"/>
          <w:sz w:val="24"/>
          <w:rtl w:val="0"/>
        </w:rPr>
      </w:r>
    </w:p>
    <w:p w:rsidR="00000000" w:rsidDel="00000000" w:rsidP="00000000" w:rsidRDefault="00000000" w:rsidRPr="00000000" w14:paraId="000000C7">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4.2 Security requirements</w:t>
      </w:r>
      <w:r w:rsidDel="00000000" w:rsidR="00000000" w:rsidRPr="00000000">
        <w:rPr>
          <w:rFonts w:ascii="Times New Roman" w:hAnsi="Times New Roman"/>
          <w:b/>
          <w:color w:val="004080"/>
          <w:sz w:val="24"/>
          <w:rtl w:val="0"/>
        </w:rPr>
      </w:r>
    </w:p>
    <w:p w:rsidR="00000000" w:rsidDel="00000000" w:rsidP="00000000" w:rsidRDefault="00000000" w:rsidRPr="00000000" w14:paraId="000000C8">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XSS sanitization, strict CORS proxy fallback isolation, zero hardcoded API keys.</w:t>
      </w:r>
      <w:r w:rsidDel="00000000" w:rsidR="00000000" w:rsidRPr="00000000">
        <w:rPr>
          <w:rFonts w:ascii="Times New Roman" w:hAnsi="Times New Roman"/>
          <w:color w:val="333333"/>
          <w:sz w:val="24"/>
          <w:rtl w:val="0"/>
        </w:rPr>
      </w:r>
    </w:p>
    <w:p w:rsidR="00000000" w:rsidDel="00000000" w:rsidP="00000000" w:rsidRDefault="00000000" w:rsidRPr="00000000" w14:paraId="000000C9">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4.3 Software Quality Attributes</w:t>
      </w:r>
      <w:r w:rsidDel="00000000" w:rsidR="00000000" w:rsidRPr="00000000">
        <w:rPr>
          <w:rFonts w:ascii="Times New Roman" w:hAnsi="Times New Roman"/>
          <w:b/>
          <w:color w:val="004080"/>
          <w:sz w:val="24"/>
          <w:rtl w:val="0"/>
        </w:rPr>
      </w:r>
    </w:p>
    <w:p w:rsidR="00000000" w:rsidDel="00000000" w:rsidP="00000000" w:rsidRDefault="00000000" w:rsidRPr="00000000" w14:paraId="000000CA">
      <w:pPr>
        <w:spacing w:after="120" w:line="276" w:lineRule="auto" w:before="0"/>
        <w:jc w:val="both"/>
        <w:rPr/>
      </w:pPr>
      <w:r>
        <w:rPr>
          <w:rFonts w:ascii="Times New Roman" w:hAnsi="Times New Roman"/>
          <w:color w:val="333333"/>
          <w:sz w:val="24"/>
        </w:rPr>
        <w:t>1. Adaptability: Seamless reconfiguration across changing REST API payload schemas.</w:t>
      </w:r>
    </w:p>
    <w:p w:rsidR="00000000" w:rsidDel="00000000" w:rsidP="00000000" w:rsidRDefault="00000000" w:rsidRPr="00000000" w14:paraId="000000CB">
      <w:pPr>
        <w:spacing w:after="120" w:line="276" w:lineRule="auto" w:before="0"/>
        <w:jc w:val="both"/>
        <w:rPr/>
      </w:pPr>
      <w:r>
        <w:rPr>
          <w:rFonts w:ascii="Times New Roman" w:hAnsi="Times New Roman"/>
          <w:color w:val="333333"/>
          <w:sz w:val="24"/>
        </w:rPr>
        <w:t>2. Availability: 99.9% uptime guaranteed by dual-CORS proxy failovers and static baseline fallback quotes.</w:t>
      </w:r>
    </w:p>
    <w:p w:rsidR="00000000" w:rsidDel="00000000" w:rsidP="00000000" w:rsidRDefault="00000000" w:rsidRPr="00000000" w14:paraId="000000CC">
      <w:pPr>
        <w:spacing w:after="120" w:line="276" w:lineRule="auto" w:before="0"/>
        <w:jc w:val="both"/>
        <w:rPr/>
      </w:pPr>
      <w:r>
        <w:rPr>
          <w:rFonts w:ascii="Times New Roman" w:hAnsi="Times New Roman"/>
          <w:color w:val="333333"/>
          <w:sz w:val="24"/>
        </w:rPr>
        <w:t>3. Correctness: Zero price distortion guaranteed by regular-expression string sanitization prior to numerical evaluation.</w:t>
      </w:r>
    </w:p>
    <w:p w:rsidR="00000000" w:rsidDel="00000000" w:rsidP="00000000" w:rsidRDefault="00000000" w:rsidRPr="00000000" w14:paraId="000000CD">
      <w:pPr>
        <w:spacing w:after="120" w:line="276" w:lineRule="auto" w:before="0"/>
        <w:jc w:val="both"/>
        <w:rPr/>
      </w:pPr>
      <w:r>
        <w:rPr>
          <w:rFonts w:ascii="Times New Roman" w:hAnsi="Times New Roman"/>
          <w:color w:val="333333"/>
          <w:sz w:val="24"/>
        </w:rPr>
        <w:t>4. Flexibility: Modular React component structure allowing rapid integration of new asset classes.</w:t>
      </w:r>
    </w:p>
    <w:p w:rsidR="00000000" w:rsidDel="00000000" w:rsidP="00000000" w:rsidRDefault="00000000" w:rsidRPr="00000000" w14:paraId="000000CE">
      <w:pPr>
        <w:spacing w:after="120" w:line="276" w:lineRule="auto" w:before="0"/>
        <w:jc w:val="both"/>
        <w:rPr/>
      </w:pPr>
      <w:r>
        <w:rPr>
          <w:rFonts w:ascii="Times New Roman" w:hAnsi="Times New Roman"/>
          <w:color w:val="333333"/>
          <w:sz w:val="24"/>
        </w:rPr>
        <w:t>5. Interoperability: Standardized JSON REST interfaces compliant with institutional market data standards.</w:t>
      </w:r>
    </w:p>
    <w:p w:rsidR="00000000" w:rsidDel="00000000" w:rsidP="00000000" w:rsidRDefault="00000000" w:rsidRPr="00000000" w14:paraId="000000CF">
      <w:pPr>
        <w:spacing w:after="120" w:line="276" w:lineRule="auto" w:before="0"/>
        <w:jc w:val="both"/>
        <w:rPr/>
      </w:pPr>
      <w:r>
        <w:rPr>
          <w:rFonts w:ascii="Times New Roman" w:hAnsi="Times New Roman"/>
          <w:color w:val="333333"/>
          <w:sz w:val="24"/>
        </w:rPr>
        <w:t>6. Maintainability: Domain-Driven Enterprise file structure separating modules, services, and types.</w:t>
      </w:r>
    </w:p>
    <w:p w:rsidR="00000000" w:rsidDel="00000000" w:rsidP="00000000" w:rsidRDefault="00000000" w:rsidRPr="00000000" w14:paraId="000000D0">
      <w:pPr>
        <w:spacing w:after="120" w:line="276" w:lineRule="auto" w:before="0"/>
        <w:jc w:val="both"/>
        <w:rPr/>
      </w:pPr>
      <w:r>
        <w:rPr>
          <w:rFonts w:ascii="Times New Roman" w:hAnsi="Times New Roman"/>
          <w:color w:val="333333"/>
          <w:sz w:val="24"/>
        </w:rPr>
        <w:t>7. Portability: Full cross-platform execution on macOS, Windows, Linux, iOS Safari, and Android Chrome.</w:t>
      </w:r>
    </w:p>
    <w:p w:rsidR="00000000" w:rsidDel="00000000" w:rsidP="00000000" w:rsidRDefault="00000000" w:rsidRPr="00000000" w14:paraId="000000D1">
      <w:pPr>
        <w:spacing w:after="120" w:line="276" w:lineRule="auto" w:before="0"/>
        <w:jc w:val="both"/>
        <w:rPr/>
      </w:pPr>
      <w:r>
        <w:rPr>
          <w:rFonts w:ascii="Times New Roman" w:hAnsi="Times New Roman"/>
          <w:color w:val="333333"/>
          <w:sz w:val="24"/>
        </w:rPr>
        <w:t>8. Reliability: Non-blocking asynchronous event loops preventing UI main thread locks.</w:t>
      </w:r>
    </w:p>
    <w:p w:rsidR="00000000" w:rsidDel="00000000" w:rsidP="00000000" w:rsidRDefault="00000000" w:rsidRPr="00000000" w14:paraId="000000D2">
      <w:pPr>
        <w:spacing w:after="120" w:line="276" w:lineRule="auto" w:before="0"/>
        <w:jc w:val="both"/>
        <w:rPr/>
      </w:pPr>
      <w:r>
        <w:rPr>
          <w:rFonts w:ascii="Times New Roman" w:hAnsi="Times New Roman"/>
          <w:color w:val="333333"/>
          <w:sz w:val="24"/>
        </w:rPr>
        <w:t>9. Reusability: Decoupled UI components and utility services reusable across FinTech micro-frontends.</w:t>
      </w:r>
    </w:p>
    <w:p w:rsidR="00000000" w:rsidDel="00000000" w:rsidP="00000000" w:rsidRDefault="00000000" w:rsidRPr="00000000" w14:paraId="000000D3">
      <w:pPr>
        <w:spacing w:after="120" w:line="276" w:lineRule="auto" w:before="0"/>
        <w:jc w:val="both"/>
        <w:rPr/>
      </w:pPr>
      <w:r>
        <w:rPr>
          <w:rFonts w:ascii="Times New Roman" w:hAnsi="Times New Roman"/>
          <w:color w:val="333333"/>
          <w:sz w:val="24"/>
        </w:rPr>
        <w:t>10. Robustness: Graceful degradation under network timeouts or proxy server outages.</w:t>
      </w:r>
    </w:p>
    <w:p w:rsidR="00000000" w:rsidDel="00000000" w:rsidP="00000000" w:rsidRDefault="00000000" w:rsidRPr="00000000" w14:paraId="000000D4">
      <w:pPr>
        <w:spacing w:after="120" w:line="276" w:lineRule="auto" w:before="0"/>
        <w:jc w:val="both"/>
        <w:rPr/>
      </w:pPr>
      <w:r>
        <w:rPr>
          <w:rFonts w:ascii="Times New Roman" w:hAnsi="Times New Roman"/>
          <w:color w:val="333333"/>
          <w:sz w:val="24"/>
        </w:rPr>
        <w:t>11. Testability: Strict TypeScript interfaces allowing automated unit and integration testing.</w:t>
      </w:r>
    </w:p>
    <w:p w:rsidR="00000000" w:rsidDel="00000000" w:rsidP="00000000" w:rsidRDefault="00000000" w:rsidRPr="00000000" w14:paraId="000000D5">
      <w:pPr>
        <w:spacing w:after="120" w:line="276" w:lineRule="auto" w:before="0"/>
        <w:jc w:val="both"/>
        <w:rPr/>
      </w:pPr>
      <w:r>
        <w:rPr>
          <w:rFonts w:ascii="Times New Roman" w:hAnsi="Times New Roman"/>
          <w:color w:val="333333"/>
          <w:sz w:val="24"/>
        </w:rPr>
        <w:t>12. Usability: Intuitive glassmorphism interface with custom dark/light theme switching.</w:t>
      </w:r>
    </w:p>
    <w:p w:rsidR="00000000" w:rsidDel="00000000" w:rsidP="00000000" w:rsidRDefault="00000000" w:rsidRPr="00000000" w14:paraId="000000D6">
      <w:pPr>
        <w:keepNext w:val="1"/>
        <w:spacing w:after="120" w:before="0" w:lineRule="auto" w:line="276"/>
        <w:jc w:val="both"/>
        <w:rPr/>
      </w:pPr>
      <w:r w:rsidDel="00000000" w:rsidR="00000000" w:rsidRPr="00000000">
        <w:rPr>
          <w:rFonts w:ascii="Times New Roman" w:cs="Times New Roman" w:eastAsia="Times New Roman" w:hAnsi="Times New Roman"/>
          <w:b w:val="1"/>
          <w:bCs w:val="1"/>
          <w:color w:val="333333"/>
          <w:sz w:val="24"/>
          <w:szCs w:val="28"/>
          <w:rtl w:val="0"/>
        </w:rPr>
        <w:t xml:space="preserve">5. OTHER REQUIREMENTS &amp; FUTURE WORK PROSPECTS</w:t>
      </w:r>
      <w:r w:rsidDel="00000000" w:rsidR="00000000" w:rsidRPr="00000000">
        <w:rPr>
          <w:rFonts w:ascii="Times New Roman" w:hAnsi="Times New Roman"/>
          <w:color w:val="333333"/>
          <w:sz w:val="24"/>
          <w:rtl w:val="0"/>
        </w:rPr>
      </w:r>
    </w:p>
    <w:p w:rsidR="00000000" w:rsidDel="00000000" w:rsidP="00000000" w:rsidRDefault="00000000" w:rsidRPr="00000000" w14:paraId="000000D7">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5.1 Regulatory Compliance</w:t>
      </w:r>
      <w:r w:rsidDel="00000000" w:rsidR="00000000" w:rsidRPr="00000000">
        <w:rPr>
          <w:rFonts w:ascii="Times New Roman" w:hAnsi="Times New Roman"/>
          <w:b/>
          <w:color w:val="004080"/>
          <w:sz w:val="24"/>
          <w:rtl w:val="0"/>
        </w:rPr>
      </w:r>
    </w:p>
    <w:p w:rsidR="00000000" w:rsidDel="00000000" w:rsidP="00000000" w:rsidRDefault="00000000" w:rsidRPr="00000000" w14:paraId="000000D8">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Full alignment with SEBI ICDR guidelines, GDPR data privacy standards, and financial disclosure norms.</w:t>
      </w:r>
      <w:r w:rsidDel="00000000" w:rsidR="00000000" w:rsidRPr="00000000">
        <w:rPr>
          <w:rFonts w:ascii="Times New Roman" w:hAnsi="Times New Roman"/>
          <w:color w:val="333333"/>
          <w:sz w:val="24"/>
          <w:rtl w:val="0"/>
        </w:rPr>
      </w:r>
    </w:p>
    <w:p w:rsidR="00000000" w:rsidDel="00000000" w:rsidP="00000000" w:rsidRDefault="00000000" w:rsidRPr="00000000" w14:paraId="000000D9">
      <w:pPr>
        <w:keepNext/>
        <w:spacing w:after="80" w:before="240" w:lineRule="auto" w:line="276"/>
        <w:jc w:val="left"/>
        <w:rPr/>
      </w:pPr>
      <w:r w:rsidDel="00000000" w:rsidR="00000000" w:rsidRPr="00000000">
        <w:rPr>
          <w:rFonts w:ascii="Times New Roman" w:cs="Times New Roman" w:eastAsia="Times New Roman" w:hAnsi="Times New Roman"/>
          <w:b/>
          <w:bCs w:val="1"/>
          <w:color w:val="004080"/>
          <w:sz w:val="24"/>
          <w:szCs w:val="24"/>
          <w:u w:val="single"/>
          <w:rtl w:val="0"/>
        </w:rPr>
        <w:t xml:space="preserve">5.2 Comprehensive 5-Phase Future Engineering Roadmap</w:t>
      </w:r>
      <w:r w:rsidDel="00000000" w:rsidR="00000000" w:rsidRPr="00000000">
        <w:rPr>
          <w:rFonts w:ascii="Times New Roman" w:hAnsi="Times New Roman"/>
          <w:b/>
          <w:color w:val="004080"/>
          <w:sz w:val="24"/>
          <w:rtl w:val="0"/>
        </w:rPr>
      </w:r>
    </w:p>
    <w:p w:rsidR="00000000" w:rsidDel="00000000" w:rsidP="00000000" w:rsidRDefault="00000000" w:rsidRPr="00000000" w14:paraId="000000DA">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To extend VITTIYA into a globally dominant financial intelligence platform, the following five-phase engineering roadmap is established for future work:</w:t>
      </w:r>
      <w:r w:rsidDel="00000000" w:rsidR="00000000" w:rsidRPr="00000000">
        <w:rPr>
          <w:rFonts w:ascii="Times New Roman" w:hAnsi="Times New Roman"/>
          <w:color w:val="333333"/>
          <w:sz w:val="24"/>
          <w:rtl w:val="0"/>
        </w:rPr>
      </w:r>
    </w:p>
    <w:p w:rsidR="00000000" w:rsidDel="00000000" w:rsidP="00000000" w:rsidRDefault="00000000" w:rsidRPr="00000000" w14:paraId="000000DB">
      <w:pPr>
        <w:keepNext w:val="1"/>
        <w:spacing w:after="120" w:before="0" w:lineRule="auto" w:line="276"/>
        <w:jc w:val="both"/>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Phase I: Institutional Brokerage API Integration &amp; Direct Order Routing</w:t>
      </w:r>
      <w:r w:rsidDel="00000000" w:rsidR="00000000" w:rsidRPr="00000000">
        <w:rPr>
          <w:rFonts w:ascii="Times New Roman" w:hAnsi="Times New Roman"/>
          <w:color w:val="333333"/>
          <w:sz w:val="24"/>
          <w:rtl w:val="0"/>
        </w:rPr>
      </w:r>
    </w:p>
    <w:p w:rsidR="00000000" w:rsidDel="00000000" w:rsidP="00000000" w:rsidRDefault="00000000" w:rsidRPr="00000000" w14:paraId="000000DC">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Future iterations will integrate native OAuth 2.0 broker APIs (Zerodha Kite Connect WebSocket API, Groww Trading API, AngelOne SmartAPI, Upstox Developer API). This will enable automated one-click order execution directly from the Causal Brain Hub, allowing users to execute risk-hedging trades with automated bracket orders and stop-loss trailing parameters.</w:t>
      </w:r>
      <w:r w:rsidDel="00000000" w:rsidR="00000000" w:rsidRPr="00000000">
        <w:rPr>
          <w:rFonts w:ascii="Times New Roman" w:hAnsi="Times New Roman"/>
          <w:color w:val="333333"/>
          <w:sz w:val="24"/>
          <w:rtl w:val="0"/>
        </w:rPr>
      </w:r>
    </w:p>
    <w:p w:rsidR="00000000" w:rsidDel="00000000" w:rsidP="00000000" w:rsidRDefault="00000000" w:rsidRPr="00000000" w14:paraId="000000DD">
      <w:pPr>
        <w:keepNext w:val="1"/>
        <w:spacing w:after="120" w:before="0" w:lineRule="auto" w:line="276"/>
        <w:jc w:val="both"/>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Phase II: Fine-Tuned LLM &amp; Transformer Financial Sentiment Pipeline</w:t>
      </w:r>
      <w:r w:rsidDel="00000000" w:rsidR="00000000" w:rsidRPr="00000000">
        <w:rPr>
          <w:rFonts w:ascii="Times New Roman" w:hAnsi="Times New Roman"/>
          <w:color w:val="333333"/>
          <w:sz w:val="24"/>
          <w:rtl w:val="0"/>
        </w:rPr>
      </w:r>
    </w:p>
    <w:p w:rsidR="00000000" w:rsidDel="00000000" w:rsidP="00000000" w:rsidRDefault="00000000" w:rsidRPr="00000000" w14:paraId="000000DE">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Deployment of a domain-specific Large Language Model (FinBERT / Llama-3-70B-Instruct fine-tuned on SEC 10-K, 10-Q filings, SEBI corporate disclosures, and earnings call transcripts). The model will automatically parse un-structured corporate disclosures in real-time, generate automated sentiment scores, and update the causal DAG graph edges dynamically.</w:t>
      </w:r>
      <w:r w:rsidDel="00000000" w:rsidR="00000000" w:rsidRPr="00000000">
        <w:rPr>
          <w:rFonts w:ascii="Times New Roman" w:hAnsi="Times New Roman"/>
          <w:color w:val="333333"/>
          <w:sz w:val="24"/>
          <w:rtl w:val="0"/>
        </w:rPr>
      </w:r>
    </w:p>
    <w:p w:rsidR="00000000" w:rsidDel="00000000" w:rsidP="00000000" w:rsidRDefault="00000000" w:rsidRPr="00000000" w14:paraId="000000DF">
      <w:pPr>
        <w:keepNext w:val="1"/>
        <w:spacing w:after="120" w:before="0" w:lineRule="auto" w:line="276"/>
        <w:jc w:val="both"/>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Phase III: Reinforcement Learning (RL) Portfolio Shock Optimizer</w:t>
      </w:r>
      <w:r w:rsidDel="00000000" w:rsidR="00000000" w:rsidRPr="00000000">
        <w:rPr>
          <w:rFonts w:ascii="Times New Roman" w:hAnsi="Times New Roman"/>
          <w:color w:val="333333"/>
          <w:sz w:val="24"/>
          <w:rtl w:val="0"/>
        </w:rPr>
      </w:r>
    </w:p>
    <w:p w:rsidR="00000000" w:rsidDel="00000000" w:rsidP="00000000" w:rsidRDefault="00000000" w:rsidRPr="00000000" w14:paraId="000000E0">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Implementation of Proximal Policy Optimization (PPO) and Deep Q-Learning algorithms trained on 20 years of historical market crash data (2008 Financial Crisis, 2020 COVID Shock, 2022 Inflation Spike). The RL agent will recommend dynamic asset reallocation strategies during high-volatility regime shifts.</w:t>
      </w:r>
      <w:r w:rsidDel="00000000" w:rsidR="00000000" w:rsidRPr="00000000">
        <w:rPr>
          <w:rFonts w:ascii="Times New Roman" w:hAnsi="Times New Roman"/>
          <w:color w:val="333333"/>
          <w:sz w:val="24"/>
          <w:rtl w:val="0"/>
        </w:rPr>
      </w:r>
    </w:p>
    <w:p w:rsidR="00000000" w:rsidDel="00000000" w:rsidP="00000000" w:rsidRDefault="00000000" w:rsidRPr="00000000" w14:paraId="000000E1">
      <w:pPr>
        <w:keepNext w:val="1"/>
        <w:spacing w:after="120" w:before="0" w:lineRule="auto" w:line="276"/>
        <w:jc w:val="both"/>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Phase IV: Sub-Millisecond Distributed WebSocket Infrastructure</w:t>
      </w:r>
      <w:r w:rsidDel="00000000" w:rsidR="00000000" w:rsidRPr="00000000">
        <w:rPr>
          <w:rFonts w:ascii="Times New Roman" w:hAnsi="Times New Roman"/>
          <w:color w:val="333333"/>
          <w:sz w:val="24"/>
          <w:rtl w:val="0"/>
        </w:rPr>
      </w:r>
    </w:p>
    <w:p w:rsidR="00000000" w:rsidDel="00000000" w:rsidP="00000000" w:rsidRDefault="00000000" w:rsidRPr="00000000" w14:paraId="000000E2">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Migration from client-side REST polling to a distributed backend streaming architecture powered by Apache Kafka, Redis Pub/Sub, and Go-based WebSocket gateways. This will lower market data tick delivery latency from 8000ms to sub-100ms directly from exchange co-location servers.</w:t>
      </w:r>
      <w:r w:rsidDel="00000000" w:rsidR="00000000" w:rsidRPr="00000000">
        <w:rPr>
          <w:rFonts w:ascii="Times New Roman" w:hAnsi="Times New Roman"/>
          <w:color w:val="333333"/>
          <w:sz w:val="24"/>
          <w:rtl w:val="0"/>
        </w:rPr>
      </w:r>
    </w:p>
    <w:p w:rsidR="00000000" w:rsidDel="00000000" w:rsidP="00000000" w:rsidRDefault="00000000" w:rsidRPr="00000000" w14:paraId="000000E3">
      <w:pPr>
        <w:keepNext w:val="1"/>
        <w:spacing w:after="120" w:before="0" w:lineRule="auto" w:line="276"/>
        <w:jc w:val="both"/>
        <w:rPr/>
      </w:pPr>
      <w:r w:rsidDel="00000000" w:rsidR="00000000" w:rsidRPr="00000000">
        <w:rPr>
          <w:rFonts w:ascii="Times New Roman" w:cs="Times New Roman" w:eastAsia="Times New Roman" w:hAnsi="Times New Roman"/>
          <w:b w:val="1"/>
          <w:bCs w:val="1"/>
          <w:i w:val="1"/>
          <w:iCs w:val="1"/>
          <w:color w:val="333333"/>
          <w:sz w:val="24"/>
          <w:szCs w:val="24"/>
          <w:rtl w:val="0"/>
        </w:rPr>
        <w:t xml:space="preserve">Phase V: Cross-Border Regulatory &amp; ESG Intelligence Module</w:t>
      </w:r>
      <w:r w:rsidDel="00000000" w:rsidR="00000000" w:rsidRPr="00000000">
        <w:rPr>
          <w:rFonts w:ascii="Times New Roman" w:hAnsi="Times New Roman"/>
          <w:color w:val="333333"/>
          <w:sz w:val="24"/>
          <w:rtl w:val="0"/>
        </w:rPr>
      </w:r>
    </w:p>
    <w:p w:rsidR="00000000" w:rsidDel="00000000" w:rsidP="00000000" w:rsidRDefault="00000000" w:rsidRPr="00000000" w14:paraId="000000E4">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Integration of Corporate Sustainability Reporting Directive (CSRD) and ESG risk scoring modules, allowing institutional asset managers to evaluate carbon credit exposure, supply chain labor risks, and cross-border regulatory compliance.</w:t>
      </w:r>
      <w:r w:rsidDel="00000000" w:rsidR="00000000" w:rsidRPr="00000000">
        <w:rPr>
          <w:rFonts w:ascii="Times New Roman" w:hAnsi="Times New Roman"/>
          <w:color w:val="333333"/>
          <w:sz w:val="24"/>
          <w:rtl w:val="0"/>
        </w:rPr>
      </w:r>
    </w:p>
    <w:p w:rsidR="00000000" w:rsidDel="00000000" w:rsidP="00000000" w:rsidRDefault="00000000" w:rsidRPr="00000000" w14:paraId="000000E5">
      <w:pPr>
        <w:keepNext/>
        <w:spacing w:after="120" w:before="320" w:lineRule="auto" w:line="276"/>
        <w:jc w:val="left"/>
        <w:rPr/>
      </w:pPr>
      <w:r w:rsidDel="00000000" w:rsidR="00000000" w:rsidRPr="00000000">
        <w:rPr>
          <w:rFonts w:ascii="Times New Roman" w:cs="Times New Roman" w:eastAsia="Times New Roman" w:hAnsi="Times New Roman"/>
          <w:b/>
          <w:bCs w:val="1"/>
          <w:color w:val="002060"/>
          <w:sz w:val="28"/>
          <w:szCs w:val="28"/>
          <w:rtl w:val="0"/>
        </w:rPr>
        <w:t xml:space="preserve">APPENDIX A: GLOSSARY</w:t>
      </w:r>
      <w:r w:rsidDel="00000000" w:rsidR="00000000" w:rsidRPr="00000000">
        <w:rPr>
          <w:rFonts w:ascii="Times New Roman" w:hAnsi="Times New Roman"/>
          <w:b/>
          <w:color w:val="002060"/>
          <w:sz w:val="28"/>
          <w:rtl w:val="0"/>
        </w:rPr>
      </w:r>
    </w:p>
    <w:p w:rsidR="00000000" w:rsidDel="00000000" w:rsidP="00000000" w:rsidRDefault="00000000" w:rsidRPr="00000000" w14:paraId="000000E6">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GMP (Grey Market Premium): Off-market trading premium indicating estimated listing gains prior to official stock exchange listing.</w:t>
      </w:r>
      <w:r w:rsidDel="00000000" w:rsidR="00000000" w:rsidRPr="00000000">
        <w:rPr>
          <w:rFonts w:ascii="Times New Roman" w:hAnsi="Times New Roman"/>
          <w:color w:val="333333"/>
          <w:sz w:val="24"/>
          <w:rtl w:val="0"/>
        </w:rPr>
      </w:r>
    </w:p>
    <w:p w:rsidR="00000000" w:rsidDel="00000000" w:rsidP="00000000" w:rsidRDefault="00000000" w:rsidRPr="00000000" w14:paraId="000000E7">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QIB (Qualified Institutional Buyer): Institutional bidding category in IPOs comprising mutual funds, banks, and FIIs.</w:t>
      </w:r>
      <w:r w:rsidDel="00000000" w:rsidR="00000000" w:rsidRPr="00000000">
        <w:rPr>
          <w:rFonts w:ascii="Times New Roman" w:hAnsi="Times New Roman"/>
          <w:color w:val="333333"/>
          <w:sz w:val="24"/>
          <w:rtl w:val="0"/>
        </w:rPr>
      </w:r>
    </w:p>
    <w:p w:rsidR="00000000" w:rsidDel="00000000" w:rsidP="00000000" w:rsidRDefault="00000000" w:rsidRPr="00000000" w14:paraId="000000E8">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NII (Non-Institutional Investor): High Net-Worth Individual (HNI) bidding category applying for IPO shares exceeding ₹2 Lakhs.</w:t>
      </w:r>
      <w:r w:rsidDel="00000000" w:rsidR="00000000" w:rsidRPr="00000000">
        <w:rPr>
          <w:rFonts w:ascii="Times New Roman" w:hAnsi="Times New Roman"/>
          <w:color w:val="333333"/>
          <w:sz w:val="24"/>
          <w:rtl w:val="0"/>
        </w:rPr>
      </w:r>
    </w:p>
    <w:p w:rsidR="00000000" w:rsidDel="00000000" w:rsidP="00000000" w:rsidRDefault="00000000" w:rsidRPr="00000000" w14:paraId="000000E9">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DAG (Directed Acyclic Graph): A graph structure consisting of nodes and directed edges with no closed loops, used to model causal dependency chains.</w:t>
      </w:r>
      <w:r w:rsidDel="00000000" w:rsidR="00000000" w:rsidRPr="00000000">
        <w:rPr>
          <w:rFonts w:ascii="Times New Roman" w:hAnsi="Times New Roman"/>
          <w:color w:val="333333"/>
          <w:sz w:val="24"/>
          <w:rtl w:val="0"/>
        </w:rPr>
      </w:r>
    </w:p>
    <w:p w:rsidR="00000000" w:rsidDel="00000000" w:rsidP="00000000" w:rsidRDefault="00000000" w:rsidRPr="00000000" w14:paraId="000000EA">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PCR (Put-Call Ratio): Derivatives indicator calculated by dividing total open interest of Put options by Call options.</w:t>
      </w:r>
      <w:r w:rsidDel="00000000" w:rsidR="00000000" w:rsidRPr="00000000">
        <w:rPr>
          <w:rFonts w:ascii="Times New Roman" w:hAnsi="Times New Roman"/>
          <w:color w:val="333333"/>
          <w:sz w:val="24"/>
          <w:rtl w:val="0"/>
        </w:rPr>
      </w:r>
    </w:p>
    <w:p w:rsidR="00000000" w:rsidDel="00000000" w:rsidP="00000000" w:rsidRDefault="00000000" w:rsidRPr="00000000" w14:paraId="000000EB">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 GRM (Gross Refining Margin): The difference between the total value of refined petroleum products and the raw cost of crude oil.</w:t>
      </w:r>
      <w:r w:rsidDel="00000000" w:rsidR="00000000" w:rsidRPr="00000000">
        <w:rPr>
          <w:rFonts w:ascii="Times New Roman" w:hAnsi="Times New Roman"/>
          <w:color w:val="333333"/>
          <w:sz w:val="24"/>
          <w:rtl w:val="0"/>
        </w:rPr>
      </w:r>
    </w:p>
    <w:p w:rsidR="00000000" w:rsidDel="00000000" w:rsidP="00000000" w:rsidRDefault="00000000" w:rsidRPr="00000000" w14:paraId="000000EC">
      <w:pPr>
        <w:keepNext/>
        <w:spacing w:after="120" w:before="320" w:lineRule="auto" w:line="276"/>
        <w:jc w:val="left"/>
        <w:rPr/>
      </w:pPr>
      <w:r w:rsidDel="00000000" w:rsidR="00000000" w:rsidRPr="00000000">
        <w:rPr>
          <w:rFonts w:ascii="Times New Roman" w:cs="Times New Roman" w:eastAsia="Times New Roman" w:hAnsi="Times New Roman"/>
          <w:b/>
          <w:bCs w:val="1"/>
          <w:color w:val="002060"/>
          <w:sz w:val="28"/>
          <w:szCs w:val="28"/>
          <w:rtl w:val="0"/>
        </w:rPr>
        <w:t xml:space="preserve">APPENDIX B: ANALYSIS MODEL</w:t>
      </w:r>
      <w:r w:rsidDel="00000000" w:rsidR="00000000" w:rsidRPr="00000000">
        <w:rPr>
          <w:rFonts w:ascii="Times New Roman" w:hAnsi="Times New Roman"/>
          <w:b/>
          <w:color w:val="002060"/>
          <w:sz w:val="28"/>
          <w:rtl w:val="0"/>
        </w:rPr>
      </w:r>
    </w:p>
    <w:p w:rsidR="00000000" w:rsidDel="00000000" w:rsidP="00000000" w:rsidRDefault="00000000" w:rsidRPr="00000000" w14:paraId="000000ED">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Detailed data dictionary schemas, entity-relationship specifications, and component interface models defining system boundaries.</w:t>
      </w:r>
      <w:r w:rsidDel="00000000" w:rsidR="00000000" w:rsidRPr="00000000">
        <w:rPr>
          <w:rFonts w:ascii="Times New Roman" w:hAnsi="Times New Roman"/>
          <w:color w:val="333333"/>
          <w:sz w:val="24"/>
          <w:rtl w:val="0"/>
        </w:rPr>
      </w:r>
    </w:p>
    <w:p w:rsidR="00000000" w:rsidDel="00000000" w:rsidP="00000000" w:rsidRDefault="00000000" w:rsidRPr="00000000" w14:paraId="000000EE">
      <w:pPr>
        <w:keepNext/>
        <w:spacing w:after="120" w:before="320" w:lineRule="auto" w:line="276"/>
        <w:jc w:val="left"/>
        <w:rPr/>
      </w:pPr>
      <w:r w:rsidDel="00000000" w:rsidR="00000000" w:rsidRPr="00000000">
        <w:rPr>
          <w:rFonts w:ascii="Times New Roman" w:cs="Times New Roman" w:eastAsia="Times New Roman" w:hAnsi="Times New Roman"/>
          <w:b/>
          <w:bCs w:val="1"/>
          <w:color w:val="002060"/>
          <w:sz w:val="28"/>
          <w:szCs w:val="28"/>
          <w:rtl w:val="0"/>
        </w:rPr>
        <w:t xml:space="preserve">APPENDIX C: ISSUES LIST</w:t>
      </w:r>
      <w:r w:rsidDel="00000000" w:rsidR="00000000" w:rsidRPr="00000000">
        <w:rPr>
          <w:rFonts w:ascii="Times New Roman" w:hAnsi="Times New Roman"/>
          <w:b/>
          <w:color w:val="002060"/>
          <w:sz w:val="28"/>
          <w:rtl w:val="0"/>
        </w:rPr>
      </w:r>
    </w:p>
    <w:p w:rsidR="00000000" w:rsidDel="00000000" w:rsidP="00000000" w:rsidRDefault="00000000" w:rsidRPr="00000000" w14:paraId="000000EF">
      <w:pPr>
        <w:spacing w:after="120" w:line="276" w:lineRule="auto" w:before="0"/>
        <w:jc w:val="both"/>
        <w:rPr/>
      </w:pPr>
      <w:r w:rsidDel="00000000" w:rsidR="00000000" w:rsidRPr="00000000">
        <w:rPr>
          <w:rFonts w:ascii="Times New Roman" w:cs="Times New Roman" w:eastAsia="Times New Roman" w:hAnsi="Times New Roman"/>
          <w:color w:val="333333"/>
          <w:sz w:val="24"/>
          <w:szCs w:val="24"/>
          <w:rtl w:val="0"/>
        </w:rPr>
        <w:t xml:space="preserve">Active dynamic issue tracking log monitoring public CORS proxy response latencies during peak global market trading hours.</w:t>
      </w:r>
      <w:r w:rsidDel="00000000" w:rsidR="00000000" w:rsidRPr="00000000">
        <w:rPr>
          <w:rFonts w:ascii="Times New Roman" w:hAnsi="Times New Roman"/>
          <w:color w:val="333333"/>
          <w:sz w:val="24"/>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query1.finance.yahoo.com/v8/finance/chart/" TargetMode="External"/><Relationship Id="rId8" Type="http://schemas.openxmlformats.org/officeDocument/2006/relationships/hyperlink" Target="https://doi.org/10.1002/9781119186847" TargetMode="External"/><Relationship Id="rId9" Type="http://schemas.openxmlformats.org/officeDocument/2006/relationships/hyperlink" Target="https://doi.org/10.1111/j.1540-6261.1952.tb01525.x" TargetMode="External"/><Relationship Id="rId10" Type="http://schemas.openxmlformats.org/officeDocument/2006/relationships/hyperlink" Target="https://www.sebi.gov.in/legal/regulations/sep-2018/securities-and-exchange-board-of-india-issue-of-capital-and-disclosure-requirements-regulations-2018_40328.html" TargetMode="External"/><Relationship Id="rId11" Type="http://schemas.openxmlformats.org/officeDocument/2006/relationships/hyperlink" Target="https://arxiv.org/abs/1908.10063" TargetMode="External"/><Relationship Id="rId12" Type="http://schemas.openxmlformats.org/officeDocument/2006/relationships/hyperlink" Target="https://www.moneycontrol.com" TargetMode="External"/><Relationship Id="rId13" Type="http://schemas.openxmlformats.org/officeDocument/2006/relationships/hyperlink" Target="https://react.dev/"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query1.finance.yahoo.com/v8/finance/chart/%5ENSEI" TargetMode="External"/><Relationship Id="rId18" Type="http://schemas.openxmlformats.org/officeDocument/2006/relationships/hyperlink" Target="https://www.wiley.com/en-us/Causal+Inference+in+Statistics%3A+A+Primer-p-9781119186847" TargetMode="External"/><Relationship Id="rId19" Type="http://schemas.openxmlformats.org/officeDocument/2006/relationships/hyperlink" Target="https://www.jstor.org/stable/2975974" TargetMode="External"/><Relationship Id="rId20" Type="http://schemas.openxmlformats.org/officeDocument/2006/relationships/hyperlink" Target="https://www.sebi.gov.in/sebiweb/home/HomeAction.do?doListing=yes&amp;sid=1&amp;ssid=7&amp;smid=0" TargetMode="External"/><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