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9C701" w14:textId="77777777" w:rsidR="00E9694E" w:rsidRPr="00E9694E" w:rsidRDefault="00E9694E" w:rsidP="00E9694E">
      <w:pPr>
        <w:rPr>
          <w:b/>
          <w:bCs/>
        </w:rPr>
      </w:pPr>
      <w:r w:rsidRPr="00E9694E">
        <w:rPr>
          <w:b/>
          <w:bCs/>
        </w:rPr>
        <w:t>Abstract</w:t>
      </w:r>
    </w:p>
    <w:p w14:paraId="64247D8D" w14:textId="77777777" w:rsidR="00E9694E" w:rsidRPr="00E9694E" w:rsidRDefault="00E9694E" w:rsidP="00E9694E">
      <w:r w:rsidRPr="00E9694E">
        <w:t>The harmonic emission of grid-connected inverters is conventionally treated as a property fixed at commissioning and verified once. In reality, the LCL filter components that shape this emission degrade: self-healing in metallized-film capacitors progressively reduces capacitance and increases dielectric loss, shifting the filter resonance and detuning damping designed for nominal parameters. Field evidence has established the endpoints of a damaging chain—converter harmonics above 2 kHz measurably increase transformer eddy losses and accelerate insulation aging, and filter-capacitor drift is real enough to have motivated dedicated condition-monitoring methods—yet the middle link has not been quantified: how multi-year filter degradation reshapes the emitted spectrum and thereby consumes the life of the transformer it feeds.</w:t>
      </w:r>
    </w:p>
    <w:p w14:paraId="66F184BA" w14:textId="77777777" w:rsidR="00E9694E" w:rsidRPr="00E9694E" w:rsidRDefault="00E9694E" w:rsidP="00E9694E">
      <w:r w:rsidRPr="00E9694E">
        <w:t>This paper closes that link analytically and numerically. A degradation-resolved model propagates film-capacitor aging trajectories through the delay-limited active-damping dynamics of a digitally controlled inverter to a time-evolving harmonic and interharmonic emission profile; a generalized harmonic loss factor, bounded between the IEEE C57.110 weighting and a skin-effect-corrected exponent, drives an IEC 60076-7 hot-spot model to yield the differential transformer loss of life attributable solely to filter aging.</w:t>
      </w:r>
    </w:p>
    <w:p w14:paraId="5A7DD319" w14:textId="77777777" w:rsidR="00E9694E" w:rsidRPr="00E9694E" w:rsidRDefault="00E9694E" w:rsidP="00E9694E">
      <w:r w:rsidRPr="00E9694E">
        <w:t xml:space="preserve">Two closed-form safe limits are derived: a critical capacitance-drift threshold beyond which the resonance enters the delay-induced negative-damping region, and a maximum tolerable resonant-band current—approximately </w:t>
      </w:r>
      <w:r w:rsidRPr="00E9694E">
        <w:rPr>
          <w:b/>
          <w:bCs/>
        </w:rPr>
        <w:t>1.4–2.6% of rated current</w:t>
      </w:r>
      <w:r w:rsidRPr="00E9694E">
        <w:t xml:space="preserve"> for representative parameters—beyond which transformer lifetime consumption exceeds a stated budget. Mission profiles with and without harmonic-compensation duty are compared, the former closing a resonance-mediated degradation feedback loop through capacitor self-heating. Results give asset managers a quantitative basis for pricing ancillary-service commitments of aging inverter fleets.</w:t>
      </w:r>
    </w:p>
    <w:p w14:paraId="14F4445A" w14:textId="77777777" w:rsidR="00E9694E" w:rsidRDefault="00E9694E"/>
    <w:p w14:paraId="1B8C9162" w14:textId="77777777" w:rsidR="006F129D" w:rsidRDefault="006F129D"/>
    <w:p w14:paraId="1C6A5D94" w14:textId="77777777" w:rsidR="006F129D" w:rsidRDefault="006F129D"/>
    <w:p w14:paraId="6773E70A" w14:textId="77777777" w:rsidR="006F129D" w:rsidRPr="006F129D" w:rsidRDefault="006F129D" w:rsidP="006F129D">
      <w:pPr>
        <w:rPr>
          <w:b/>
          <w:bCs/>
        </w:rPr>
      </w:pPr>
      <w:r w:rsidRPr="006F129D">
        <w:rPr>
          <w:b/>
          <w:bCs/>
        </w:rPr>
        <w:t>A. Real-World Context</w:t>
      </w:r>
    </w:p>
    <w:p w14:paraId="64735B79" w14:textId="77777777" w:rsidR="006F129D" w:rsidRPr="006F129D" w:rsidRDefault="006F129D" w:rsidP="006F129D">
      <w:r w:rsidRPr="006F129D">
        <w:t>Three developments converge to make the question of this paper operationally urgent.</w:t>
      </w:r>
    </w:p>
    <w:p w14:paraId="38891FED" w14:textId="77777777" w:rsidR="006F129D" w:rsidRPr="006F129D" w:rsidRDefault="006F129D" w:rsidP="006F129D">
      <w:r w:rsidRPr="006F129D">
        <w:t xml:space="preserve">First, the world's first large photovoltaic fleets are aging past the design assumptions of their power-quality verification. Germany alone connected over </w:t>
      </w:r>
      <w:r w:rsidRPr="006F129D">
        <w:rPr>
          <w:b/>
          <w:bCs/>
        </w:rPr>
        <w:t>20 GW</w:t>
      </w:r>
      <w:r w:rsidRPr="006F129D">
        <w:t xml:space="preserve"> of PV during the 2010–2012 feed-in-tariff boom; those plants are now </w:t>
      </w:r>
      <w:r w:rsidRPr="006F129D">
        <w:rPr>
          <w:b/>
          <w:bCs/>
        </w:rPr>
        <w:t>14–16 years</w:t>
      </w:r>
      <w:r w:rsidRPr="006F129D">
        <w:t xml:space="preserve"> into service. Their inverters were type-tested for harmonic emission once, at commissioning, against limits in </w:t>
      </w:r>
      <w:r w:rsidRPr="006F129D">
        <w:rPr>
          <w:b/>
          <w:bCs/>
        </w:rPr>
        <w:t>IEEE 519</w:t>
      </w:r>
      <w:r w:rsidRPr="006F129D">
        <w:t xml:space="preserve">, </w:t>
      </w:r>
      <w:r w:rsidRPr="006F129D">
        <w:rPr>
          <w:b/>
          <w:bCs/>
        </w:rPr>
        <w:t>IEEE 1547</w:t>
      </w:r>
      <w:r w:rsidRPr="006F129D">
        <w:t xml:space="preserve">, and, in Europe, </w:t>
      </w:r>
      <w:r w:rsidRPr="006F129D">
        <w:rPr>
          <w:b/>
          <w:bCs/>
        </w:rPr>
        <w:t>VDE-AR-N 4105</w:t>
      </w:r>
      <w:r w:rsidRPr="006F129D">
        <w:t xml:space="preserve"> and related grid codes. No </w:t>
      </w:r>
      <w:r w:rsidRPr="006F129D">
        <w:lastRenderedPageBreak/>
        <w:t>mechanism in routine operation re-verifies that emission as passive component drift occurs. Low-voltage feeders are, in practice, sparsely instrumented for power quality: a slow rise in high-frequency emission can persist for years between audits—a silent erosion of compliance that harms equipment before it triggers any protection.</w:t>
      </w:r>
    </w:p>
    <w:p w14:paraId="7F9AA14F" w14:textId="77777777" w:rsidR="006F129D" w:rsidRPr="006F129D" w:rsidRDefault="006F129D" w:rsidP="006F129D">
      <w:r w:rsidRPr="006F129D">
        <w:t>Second, the same aging inverters are being asked to do more. Grid codes amended over the past decade (</w:t>
      </w:r>
      <w:r w:rsidRPr="006F129D">
        <w:rPr>
          <w:b/>
          <w:bCs/>
        </w:rPr>
        <w:t>IEEE 1547-2018</w:t>
      </w:r>
      <w:r w:rsidRPr="006F129D">
        <w:t xml:space="preserve"> and its successors; </w:t>
      </w:r>
      <w:r w:rsidRPr="006F129D">
        <w:rPr>
          <w:b/>
          <w:bCs/>
        </w:rPr>
        <w:t>VDE-AR-N 4105/4110</w:t>
      </w:r>
      <w:r w:rsidRPr="006F129D">
        <w:t>) require or enable reactive-power support, and harmonic-compensation duty for multifunctional inverters is an active deployment question. Each added duty changes the electrical and thermal stress on the very filter components whose degradation this paper studies. An asset manager deciding whether to commit a 15-year-old fleet to compensation duty currently has quantitative tools for the inverter-side lifetime cost of that decision, but none for the transformer-side cost.</w:t>
      </w:r>
    </w:p>
    <w:p w14:paraId="6A2B4836" w14:textId="77777777" w:rsidR="006F129D" w:rsidRPr="006F129D" w:rsidRDefault="006F129D" w:rsidP="006F129D">
      <w:r w:rsidRPr="006F129D">
        <w:t xml:space="preserve">Third, the frequency range in which the relevant emission lives—above </w:t>
      </w:r>
      <w:r w:rsidRPr="006F129D">
        <w:rPr>
          <w:b/>
          <w:bCs/>
        </w:rPr>
        <w:t>2 kHz</w:t>
      </w:r>
      <w:r w:rsidRPr="006F129D">
        <w:t xml:space="preserve">, the supraharmonic range—sits in a recognized standardization gap. Compatibility levels for </w:t>
      </w:r>
      <w:r w:rsidRPr="006F129D">
        <w:rPr>
          <w:b/>
          <w:bCs/>
        </w:rPr>
        <w:t>2–9 kHz</w:t>
      </w:r>
      <w:r w:rsidRPr="006F129D">
        <w:t xml:space="preserve"> have only recently entered </w:t>
      </w:r>
      <w:r w:rsidRPr="006F129D">
        <w:rPr>
          <w:b/>
          <w:bCs/>
        </w:rPr>
        <w:t>IEC 61000-2-2</w:t>
      </w:r>
      <w:r w:rsidRPr="006F129D">
        <w:t>, normative emission limits are still maturing, and transformer derating practice (</w:t>
      </w:r>
      <w:r w:rsidRPr="006F129D">
        <w:rPr>
          <w:b/>
          <w:bCs/>
        </w:rPr>
        <w:t>IEEE C57.110</w:t>
      </w:r>
      <w:r w:rsidRPr="006F129D">
        <w:t xml:space="preserve">) was developed and validated for integer harmonics typically up to order </w:t>
      </w:r>
      <w:r w:rsidRPr="006F129D">
        <w:rPr>
          <w:b/>
          <w:bCs/>
        </w:rPr>
        <w:t>25–50</w:t>
      </w:r>
      <w:r w:rsidRPr="006F129D">
        <w:t xml:space="preserve">, with a loss-weighting law known to be inaccurate precisely where converter resonances emit. The assets most exposed are distribution transformers: </w:t>
      </w:r>
      <w:r w:rsidRPr="006F129D">
        <w:rPr>
          <w:b/>
          <w:bCs/>
        </w:rPr>
        <w:t>30–40 year</w:t>
      </w:r>
      <w:r w:rsidRPr="006F129D">
        <w:t xml:space="preserve"> service-life devices, fleet-replaced slowly, whose insulation aging is exponential in hot-spot temperature so that even single-kelvin chronic increments translate into measurable lifetime consumption.</w:t>
      </w:r>
    </w:p>
    <w:p w14:paraId="197E2AD8" w14:textId="50A13E42" w:rsidR="006F129D" w:rsidRPr="006F129D" w:rsidRDefault="006F129D" w:rsidP="006F129D">
      <w:r w:rsidRPr="006F129D">
        <w:t xml:space="preserve">The physical chain at issue is simple to state. The </w:t>
      </w:r>
      <w:r w:rsidRPr="006F129D">
        <w:rPr>
          <w:b/>
          <w:bCs/>
        </w:rPr>
        <w:t>LCL filter</w:t>
      </w:r>
      <w:r w:rsidRPr="006F129D">
        <w:t xml:space="preserve"> of a grid-connected inverter contains a metallized-film capacitor whose capacitance falls and whose dielectric loss rises over years of service. Falling capacitance shifts the filter resonance upward; in digitally controlled inverters the achievable damping at the resonance is delay-limited and frequency-dependent, so the shift simultaneously detunes the damping. The result is a slowly growing current emission concentrated in a band near the (moving) resonant frequency—for the reference design of this paper, near </w:t>
      </w:r>
      <w:r w:rsidRPr="006F129D">
        <w:rPr>
          <w:b/>
          <w:bCs/>
        </w:rPr>
        <w:t>2.4 kHz</w:t>
      </w:r>
      <w:r w:rsidRPr="006F129D">
        <w:t>, squarely in the under-standardized range. That current flows through the windings of the distribution transformer at the point of common coupling, where eddy losses grow approximately with the square of frequency, raising the winding hot-spot temperature and accelerating the Arrhenius-governed aging of the cellulose insulation. One root cause—filter degradation</w:t>
      </w:r>
      <w:r w:rsidR="00AA6202">
        <w:t xml:space="preserve"> thus produces two end of life trajexctories the inverter own trajectory margin and the transformers remaining insulation life.</w:t>
      </w:r>
    </w:p>
    <w:p w14:paraId="5E735143" w14:textId="77777777" w:rsidR="006F129D" w:rsidRDefault="006F129D"/>
    <w:p w14:paraId="0DA95157" w14:textId="77777777" w:rsidR="0001449A" w:rsidRDefault="0001449A"/>
    <w:p w14:paraId="6FF2FF21" w14:textId="77777777" w:rsidR="0001449A" w:rsidRDefault="0001449A"/>
    <w:p w14:paraId="6802A44F" w14:textId="77777777" w:rsidR="0001449A" w:rsidRPr="0001449A" w:rsidRDefault="0001449A" w:rsidP="0001449A">
      <w:pPr>
        <w:rPr>
          <w:b/>
          <w:bCs/>
        </w:rPr>
      </w:pPr>
      <w:r w:rsidRPr="0001449A">
        <w:rPr>
          <w:b/>
          <w:bCs/>
        </w:rPr>
        <w:t>B. Problem Statement</w:t>
      </w:r>
    </w:p>
    <w:p w14:paraId="48665F5D" w14:textId="77777777" w:rsidR="0001449A" w:rsidRPr="0001449A" w:rsidRDefault="0001449A" w:rsidP="0001449A">
      <w:r w:rsidRPr="0001449A">
        <w:lastRenderedPageBreak/>
        <w:t>Every individual link of this chain is established in its own literature, as Section II documents in detail. What does not exist is the propagation: no published work drives a transformer loss-of-life calculation from a time-evolving converter degradation model, and no published work provides limits—on capacitance drift or on resonant-band emission—that separate the benign regime from the damaging one. This paper supplies both, in closed form where possible, and quantifies how the answer depends on the inverter's mission profile.</w:t>
      </w:r>
    </w:p>
    <w:p w14:paraId="1A654582" w14:textId="77777777" w:rsidR="0001449A" w:rsidRPr="0001449A" w:rsidRDefault="0001449A" w:rsidP="0001449A">
      <w:pPr>
        <w:rPr>
          <w:b/>
          <w:bCs/>
        </w:rPr>
      </w:pPr>
      <w:r w:rsidRPr="0001449A">
        <w:rPr>
          <w:b/>
          <w:bCs/>
        </w:rPr>
        <w:t>C. Contributions</w:t>
      </w:r>
    </w:p>
    <w:p w14:paraId="3A285415" w14:textId="77777777" w:rsidR="0001449A" w:rsidRPr="0001449A" w:rsidRDefault="0001449A" w:rsidP="0001449A">
      <w:pPr>
        <w:numPr>
          <w:ilvl w:val="0"/>
          <w:numId w:val="1"/>
        </w:numPr>
      </w:pPr>
      <w:r w:rsidRPr="0001449A">
        <w:t xml:space="preserve">To the authors' knowledge, the first propagation of deterministic LCL degradation trajectories through the time-evolving harmonic and interharmonic emission spectrum to distribution-transformer loss of life—an integration of individually established links not previously coupled into one quantified chain (Sections IV-A through IV-F). </w:t>
      </w:r>
    </w:p>
    <w:p w14:paraId="382E8AE3" w14:textId="77777777" w:rsidR="0001449A" w:rsidRPr="0001449A" w:rsidRDefault="0001449A" w:rsidP="0001449A">
      <w:pPr>
        <w:numPr>
          <w:ilvl w:val="0"/>
          <w:numId w:val="1"/>
        </w:numPr>
      </w:pPr>
      <w:r w:rsidRPr="0001449A">
        <w:t xml:space="preserve">The first extension of the mission-profile reliability framework across the point of common coupling: the transformer-side lifetime cost of committing inverters to harmonic-compensation duty, expressed as differential loss of life between profiles (Sections IV-F, IV-H). </w:t>
      </w:r>
    </w:p>
    <w:p w14:paraId="6C92F776" w14:textId="77777777" w:rsidR="0001449A" w:rsidRPr="0001449A" w:rsidRDefault="0001449A" w:rsidP="0001449A">
      <w:pPr>
        <w:numPr>
          <w:ilvl w:val="0"/>
          <w:numId w:val="1"/>
        </w:numPr>
      </w:pPr>
      <w:r w:rsidRPr="0001449A">
        <w:t xml:space="preserve">A system-level, resonance-mediated aging feedback closure—capacitance loss shifts the resonance and detunes the delay-limited active damping, and the growing resonant current through the capacitor branch accelerates its own degradation—extending published component-level self-heating/ESR coupling models through the electrical network (Section IV-H). </w:t>
      </w:r>
    </w:p>
    <w:p w14:paraId="5D2C5144" w14:textId="77777777" w:rsidR="0001449A" w:rsidRPr="0001449A" w:rsidRDefault="0001449A" w:rsidP="0001449A">
      <w:pPr>
        <w:numPr>
          <w:ilvl w:val="0"/>
          <w:numId w:val="1"/>
        </w:numPr>
      </w:pPr>
      <w:r w:rsidRPr="0001449A">
        <w:t xml:space="preserve">Closed-form safe limits with a bounded operating-regime map: a critical capacitance-drift threshold, </w:t>
      </w:r>
    </w:p>
    <w:p w14:paraId="08369106" w14:textId="751B0588" w:rsidR="0001449A" w:rsidRPr="0001449A" w:rsidRDefault="00000000" w:rsidP="0001449A">
      <m:oMathPara>
        <m:oMath>
          <m:sSubSup>
            <m:sSubSupPr>
              <m:ctrlPr>
                <w:rPr>
                  <w:rFonts w:ascii="Cambria Math" w:hAnsi="Cambria Math"/>
                </w:rPr>
              </m:ctrlPr>
            </m:sSubSupPr>
            <m:e>
              <m:r>
                <w:rPr>
                  <w:rFonts w:ascii="Cambria Math" w:hAnsi="Cambria Math"/>
                </w:rPr>
                <m:t>δ</m:t>
              </m:r>
            </m:e>
            <m:sub>
              <m:r>
                <w:rPr>
                  <w:rFonts w:ascii="Cambria Math" w:hAnsi="Cambria Math"/>
                </w:rPr>
                <m:t>C</m:t>
              </m:r>
            </m:sub>
            <m:sup>
              <m:r>
                <w:rPr>
                  <w:rFonts w:ascii="Cambria Math" w:hAnsi="Cambria Math"/>
                </w:rPr>
                <m:t>*</m:t>
              </m:r>
            </m:sup>
          </m:sSubSup>
          <m:r>
            <w:rPr>
              <w:rFonts w:ascii="Cambria Math" w:hAnsi="Cambria Math"/>
            </w:rPr>
            <m:t>=1-</m:t>
          </m:r>
          <m:sSubSup>
            <m:sSubSupPr>
              <m:ctrlPr>
                <w:rPr>
                  <w:rFonts w:ascii="Cambria Math" w:hAnsi="Cambria Math"/>
                </w:rPr>
              </m:ctrlPr>
            </m:sSubSupPr>
            <m:e>
              <m:r>
                <w:rPr>
                  <w:rFonts w:ascii="Cambria Math" w:hAnsi="Cambria Math"/>
                </w:rPr>
                <m:t>ρ</m:t>
              </m:r>
            </m:e>
            <m:sub>
              <m:r>
                <w:rPr>
                  <w:rFonts w:ascii="Cambria Math" w:hAnsi="Cambria Math"/>
                </w:rPr>
                <m:t>0</m:t>
              </m:r>
            </m:sub>
            <m:sup>
              <m:r>
                <w:rPr>
                  <w:rFonts w:ascii="Cambria Math" w:hAnsi="Cambria Math"/>
                </w:rPr>
                <m:t>2</m:t>
              </m:r>
            </m:sup>
          </m:sSubSup>
          <m:r>
            <m:rPr>
              <m:sty m:val="p"/>
            </m:rPr>
            <w:br/>
          </m:r>
        </m:oMath>
      </m:oMathPara>
    </w:p>
    <w:p w14:paraId="30663533" w14:textId="77777777" w:rsidR="0001449A" w:rsidRPr="0001449A" w:rsidRDefault="0001449A" w:rsidP="0001449A">
      <w:r w:rsidRPr="0001449A">
        <w:t>tied to the designer's resonance-placement margin, and a maximum tolerable resonant-band current,</w:t>
      </w:r>
    </w:p>
    <w:p w14:paraId="5C13AAD6" w14:textId="27F7E5A6" w:rsidR="0001449A" w:rsidRPr="0001449A" w:rsidRDefault="00000000" w:rsidP="0001449A">
      <m:oMathPara>
        <m:oMath>
          <m:sSubSup>
            <m:sSubSupPr>
              <m:ctrlPr>
                <w:rPr>
                  <w:rFonts w:ascii="Cambria Math" w:hAnsi="Cambria Math"/>
                </w:rPr>
              </m:ctrlPr>
            </m:sSubSupPr>
            <m:e>
              <m:r>
                <w:rPr>
                  <w:rFonts w:ascii="Cambria Math" w:hAnsi="Cambria Math"/>
                </w:rPr>
                <m:t>I</m:t>
              </m:r>
            </m:e>
            <m:sub>
              <m:r>
                <m:rPr>
                  <m:sty m:val="p"/>
                </m:rPr>
                <w:rPr>
                  <w:rFonts w:ascii="Cambria Math" w:hAnsi="Cambria Math"/>
                </w:rPr>
                <m:t>res</m:t>
              </m:r>
            </m:sub>
            <m:sup>
              <m:r>
                <m:rPr>
                  <m:sty m:val="p"/>
                </m:rPr>
                <w:rPr>
                  <w:rFonts w:ascii="Cambria Math" w:hAnsi="Cambria Math"/>
                </w:rPr>
                <m:t>max</m:t>
              </m:r>
            </m:sup>
          </m:sSubSup>
          <m:r>
            <m:rPr>
              <m:sty m:val="p"/>
            </m:rPr>
            <w:br/>
          </m:r>
        </m:oMath>
      </m:oMathPara>
    </w:p>
    <w:p w14:paraId="798DAE41" w14:textId="77777777" w:rsidR="0001449A" w:rsidRPr="0001449A" w:rsidRDefault="0001449A" w:rsidP="0001449A">
      <w:r w:rsidRPr="0001449A">
        <w:t>tied to a transformer lifetime budget, evaluated against existing grid-code emission limits (Section IV-G).</w:t>
      </w:r>
    </w:p>
    <w:p w14:paraId="4B62DDA3" w14:textId="77777777" w:rsidR="0001449A" w:rsidRPr="0001449A" w:rsidRDefault="0001449A" w:rsidP="0001449A">
      <w:pPr>
        <w:rPr>
          <w:b/>
          <w:bCs/>
        </w:rPr>
      </w:pPr>
      <w:r w:rsidRPr="0001449A">
        <w:rPr>
          <w:b/>
          <w:bCs/>
        </w:rPr>
        <w:t>D. Organization</w:t>
      </w:r>
    </w:p>
    <w:p w14:paraId="2ADD90F4" w14:textId="77777777" w:rsidR="0001449A" w:rsidRPr="0001449A" w:rsidRDefault="0001449A" w:rsidP="0001449A">
      <w:r w:rsidRPr="0001449A">
        <w:t xml:space="preserve">Section II reviews the five bodies of prior work this paper builds on and identifies, for each, what it does not do. Section III condenses the gaps and maps them to the contributions. Section IV develops the analytical framework and derives the safe limits. </w:t>
      </w:r>
      <w:r w:rsidRPr="0001449A">
        <w:lastRenderedPageBreak/>
        <w:t>Section V outlines the numerical validation and sensitivity campaign. Section VI concludes.</w:t>
      </w:r>
    </w:p>
    <w:p w14:paraId="2772ABE6" w14:textId="77777777" w:rsidR="0001449A" w:rsidRDefault="0001449A"/>
    <w:sectPr w:rsidR="0001449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50D90"/>
    <w:multiLevelType w:val="multilevel"/>
    <w:tmpl w:val="F3BC0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9895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94E"/>
    <w:rsid w:val="0001449A"/>
    <w:rsid w:val="006F129D"/>
    <w:rsid w:val="008225BA"/>
    <w:rsid w:val="00AA6202"/>
    <w:rsid w:val="00E7131E"/>
    <w:rsid w:val="00E9694E"/>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BDA74"/>
  <w15:chartTrackingRefBased/>
  <w15:docId w15:val="{26288038-EC3B-4218-BAD7-5C1766A67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9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9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9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9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9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9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9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9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9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9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94E"/>
    <w:rPr>
      <w:rFonts w:eastAsiaTheme="majorEastAsia" w:cstheme="majorBidi"/>
      <w:color w:val="272727" w:themeColor="text1" w:themeTint="D8"/>
    </w:rPr>
  </w:style>
  <w:style w:type="paragraph" w:styleId="Title">
    <w:name w:val="Title"/>
    <w:basedOn w:val="Normal"/>
    <w:next w:val="Normal"/>
    <w:link w:val="TitleChar"/>
    <w:uiPriority w:val="10"/>
    <w:qFormat/>
    <w:rsid w:val="00E96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94E"/>
    <w:pPr>
      <w:spacing w:before="160"/>
      <w:jc w:val="center"/>
    </w:pPr>
    <w:rPr>
      <w:i/>
      <w:iCs/>
      <w:color w:val="404040" w:themeColor="text1" w:themeTint="BF"/>
    </w:rPr>
  </w:style>
  <w:style w:type="character" w:customStyle="1" w:styleId="QuoteChar">
    <w:name w:val="Quote Char"/>
    <w:basedOn w:val="DefaultParagraphFont"/>
    <w:link w:val="Quote"/>
    <w:uiPriority w:val="29"/>
    <w:rsid w:val="00E9694E"/>
    <w:rPr>
      <w:i/>
      <w:iCs/>
      <w:color w:val="404040" w:themeColor="text1" w:themeTint="BF"/>
    </w:rPr>
  </w:style>
  <w:style w:type="paragraph" w:styleId="ListParagraph">
    <w:name w:val="List Paragraph"/>
    <w:basedOn w:val="Normal"/>
    <w:uiPriority w:val="34"/>
    <w:qFormat/>
    <w:rsid w:val="00E9694E"/>
    <w:pPr>
      <w:ind w:left="720"/>
      <w:contextualSpacing/>
    </w:pPr>
  </w:style>
  <w:style w:type="character" w:styleId="IntenseEmphasis">
    <w:name w:val="Intense Emphasis"/>
    <w:basedOn w:val="DefaultParagraphFont"/>
    <w:uiPriority w:val="21"/>
    <w:qFormat/>
    <w:rsid w:val="00E9694E"/>
    <w:rPr>
      <w:i/>
      <w:iCs/>
      <w:color w:val="0F4761" w:themeColor="accent1" w:themeShade="BF"/>
    </w:rPr>
  </w:style>
  <w:style w:type="paragraph" w:styleId="IntenseQuote">
    <w:name w:val="Intense Quote"/>
    <w:basedOn w:val="Normal"/>
    <w:next w:val="Normal"/>
    <w:link w:val="IntenseQuoteChar"/>
    <w:uiPriority w:val="30"/>
    <w:qFormat/>
    <w:rsid w:val="00E969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94E"/>
    <w:rPr>
      <w:i/>
      <w:iCs/>
      <w:color w:val="0F4761" w:themeColor="accent1" w:themeShade="BF"/>
    </w:rPr>
  </w:style>
  <w:style w:type="character" w:styleId="IntenseReference">
    <w:name w:val="Intense Reference"/>
    <w:basedOn w:val="DefaultParagraphFont"/>
    <w:uiPriority w:val="32"/>
    <w:qFormat/>
    <w:rsid w:val="00E969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1133</Words>
  <Characters>6459</Characters>
  <Application>Microsoft Office Word</Application>
  <DocSecurity>0</DocSecurity>
  <Lines>53</Lines>
  <Paragraphs>15</Paragraphs>
  <ScaleCrop>false</ScaleCrop>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 Katoch</dc:creator>
  <cp:keywords/>
  <dc:description/>
  <cp:lastModifiedBy>Anirudh Katoch</cp:lastModifiedBy>
  <cp:revision>4</cp:revision>
  <dcterms:created xsi:type="dcterms:W3CDTF">2026-07-31T14:08:00Z</dcterms:created>
  <dcterms:modified xsi:type="dcterms:W3CDTF">2026-07-31T14:21:00Z</dcterms:modified>
</cp:coreProperties>
</file>