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Architecture &amp; Engineering – Work Documentation</w:t>
      </w:r>
    </w:p>
    <w:p>
      <w:pPr>
        <w:pStyle w:val="Heading2"/>
      </w:pPr>
      <w:r>
        <w:t>Objective</w:t>
      </w:r>
    </w:p>
    <w:p>
      <w:r>
        <w:t>Prepare a clean, unbiased, and interpretable dataset for credit default prediction while ensuring fairness and full traceability of preprocessing steps.</w:t>
      </w:r>
    </w:p>
    <w:p>
      <w:pPr>
        <w:pStyle w:val="Heading2"/>
      </w:pPr>
      <w:r>
        <w:t>Data Understanding &amp; Exploratory Data Analysis (EDA)</w:t>
      </w:r>
    </w:p>
    <w:p>
      <w:r>
        <w:t>Analyzed target class imbalance and feature distributions to understand default behavior. Studied correlations among key financial variables to identify redundancy and multicollinearity. Evaluated age-based default trends as part of fairness assessment.</w:t>
      </w:r>
    </w:p>
    <w:p>
      <w:pPr>
        <w:pStyle w:val="Heading2"/>
      </w:pPr>
      <w:r>
        <w:t>Missing Value Treatment</w:t>
      </w:r>
    </w:p>
    <w:p>
      <w:r>
        <w:t>MonthlyIncome was imputed using KNN-based imputation to preserve realistic income patterns. NumberOfDependents was imputed using mode imputation due to its discrete nature. All imputation steps were recorded in the Data Cleaning Log.</w:t>
      </w:r>
    </w:p>
    <w:p>
      <w:pPr>
        <w:pStyle w:val="Heading2"/>
      </w:pPr>
      <w:r>
        <w:t>Outlier Detection &amp; Bias Reduction</w:t>
      </w:r>
    </w:p>
    <w:p>
      <w:r>
        <w:t>Identified extreme values in DebtRatio, RevolvingUtilizationOfUnsecuredLines, and MonthlyIncome. Applied IQR-based capping and winsorization to reduce the impact of outliers. Used log transformation to handle skewed distributions. Performed age-group checks to ensure preprocessing did not introduce bias.</w:t>
      </w:r>
    </w:p>
    <w:p>
      <w:pPr>
        <w:pStyle w:val="Heading2"/>
      </w:pPr>
      <w:r>
        <w:t>Feature Engineering</w:t>
      </w:r>
    </w:p>
    <w:p>
      <w:r>
        <w:t>Created interpretable financial features such as utilization bands, debt burden indicators, and age categories. Removed highly correlated and non-informative features with documented justification.</w:t>
      </w:r>
    </w:p>
    <w:p>
      <w:pPr>
        <w:pStyle w:val="Heading2"/>
      </w:pPr>
      <w:r>
        <w:t>Deliverables</w:t>
      </w:r>
    </w:p>
    <w:p>
      <w:r>
        <w:t>Cleaned and bias-aware dataset, essential EDA and correlation visualizations with captions, and a complete Data Cleaning Log documenting all transformations.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