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Open to relocate to the Netherlands · Hyderabad, India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0"/>
        </w:rPr>
        <w:t>Open to relocate; eligible for Highly Skilled Migrant visa sponsorship  ·  Open to onsite, hybrid, or fully remote in the Netherlands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Established observability and ChatOps (CloudWatch, Athena, Grafana, MS Teams) — reduced incident MTTR significantly.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Integrated ServiceNow REST APIs to automate change-management — CRs open/close in lockstep with deployments, eliminating manual ticket toil.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Promoted to Lead Oct 2024; running concurrently with the AICPA engagement.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Designed corporate network: dual-ISP + SD-WAN on FortiGate 60F (active-active failover) — 99.9% office network uptime.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DR Validator — automated MS SQL backup + DR verification in C# / .NET with AWS S3 and PowerShell — eliminated silent backup failures.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Deployed centralized observability stack (Prometheus, Grafana, Loki) for logging, metrics, and alerting across the cluster.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Software Engineer Intern</w:t>
      </w:r>
      <w:r>
        <w:rPr>
          <w:rFonts w:ascii="Calibri" w:hAnsi="Calibri"/>
          <w:b w:val="0"/>
          <w:i w:val="0"/>
          <w:color w:val="4A4A6A"/>
          <w:sz w:val="22"/>
        </w:rPr>
        <w:tab/>
        <w:t>Jan 2023 – Apr 2023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REST APIs in C# / .NET for internal product features.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HTML/CSS landing pages for product launches.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Rotated through support engineering; selected for full-time conversion to DevOps Engineer based on infrastructure work during the rotation.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SIDE 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LANGUAGES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English — C1 (Advanced Professional)  ·  Telugu — Native  ·  Hindi — Fluent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