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0"/>
        <w:jc w:val="center"/>
      </w:pPr>
      <w:r>
        <w:rPr>
          <w:rFonts w:ascii="Calibri" w:cs="Calibri" w:eastAsia="Calibri" w:hAnsi="Calibri"/>
          <w:b/>
          <w:bCs/>
          <w:color w:val="1B2A4A"/>
          <w:sz w:val="40"/>
          <w:szCs w:val="40"/>
        </w:rPr>
        <w:t xml:space="preserve">Research Assistant Agent</w:t>
      </w:r>
    </w:p>
    <w:p>
      <w:pPr>
        <w:spacing w:after="200"/>
        <w:jc w:val="center"/>
      </w:pPr>
      <w:r>
        <w:rPr>
          <w:rFonts w:ascii="Calibri" w:cs="Calibri" w:eastAsia="Calibri" w:hAnsi="Calibri"/>
          <w:b/>
          <w:bCs/>
          <w:color w:val="A32638"/>
          <w:sz w:val="26"/>
          <w:szCs w:val="26"/>
        </w:rPr>
        <w:t xml:space="preserve">AI Solution Direction &amp; Workflow Proposal</w:t>
      </w:r>
    </w:p>
    <w:p>
      <w:pPr>
        <w:spacing w:after="40"/>
        <w:jc w:val="center"/>
      </w:pPr>
      <w:r>
        <w:rPr>
          <w:rFonts w:ascii="Calibri" w:cs="Calibri" w:eastAsia="Calibri" w:hAnsi="Calibri"/>
          <w:i/>
          <w:iCs/>
          <w:color w:val="5B6472"/>
          <w:sz w:val="20"/>
          <w:szCs w:val="20"/>
        </w:rPr>
        <w:t xml:space="preserve">Version 1.0  |  July 16, 2026</w:t>
      </w:r>
    </w:p>
    <w:p>
      <w:pPr>
        <w:spacing w:after="400"/>
        <w:jc w:val="center"/>
      </w:pPr>
      <w:r>
        <w:rPr>
          <w:rFonts w:ascii="Calibri" w:cs="Calibri" w:eastAsia="Calibri" w:hAnsi="Calibri"/>
          <w:i/>
          <w:iCs/>
          <w:color w:val="5B6472"/>
          <w:sz w:val="20"/>
          <w:szCs w:val="20"/>
        </w:rPr>
        <w:t xml:space="preserve">From literature discovery to a submission-ready, faculty-approved draft.</w:t>
      </w:r>
    </w:p>
    <w:p>
      <w:pPr>
        <w:pStyle w:val="Heading1"/>
        <w:spacing w:after="160" w:before="360"/>
      </w:pPr>
      <w:r>
        <w:t xml:space="preserve">Summary</w:t>
      </w:r>
    </w:p>
    <w:p>
      <w:pPr>
        <w:spacing w:after="140"/>
      </w:pPr>
      <w:r>
        <w:rPr>
          <w:rFonts w:ascii="Calibri" w:cs="Calibri" w:eastAsia="Calibri" w:hAnsi="Calibri"/>
          <w:sz w:val="22"/>
          <w:szCs w:val="22"/>
        </w:rPr>
        <w:t xml:space="preserve">Faculty research work spans literature discovery, identifying gaps, drafting papers or proposals, citation and formatting compliance, tracking funding/journal deadlines, and coordinating with co-authors — largely done manually and repeated for every paper or proposal.</w:t>
      </w:r>
    </w:p>
    <w:p>
      <w:pPr>
        <w:spacing w:after="140"/>
      </w:pPr>
      <w:r>
        <w:rPr>
          <w:rFonts w:ascii="Calibri" w:cs="Calibri" w:eastAsia="Calibri" w:hAnsi="Calibri"/>
          <w:sz w:val="22"/>
          <w:szCs w:val="22"/>
        </w:rPr>
        <w:t xml:space="preserve">This document proposes a Research Assistant Agent: faculty state a research question or draft goal, and the agent coordinates discovery, gap analysis, drafting, citation compliance, and collaboration, always stopping at faculty sign-off before anything is submitted.</w:t>
      </w:r>
    </w:p>
    <w:p>
      <w:pPr>
        <w:pStyle w:val="Heading2"/>
        <w:spacing w:after="120" w:before="280"/>
      </w:pPr>
      <w:r>
        <w:t xml:space="preserve">What the Agent Means in This Document</w:t>
      </w:r>
    </w:p>
    <w:p>
      <w:pPr>
        <w:pStyle w:val="ListParagraph"/>
        <w:numPr>
          <w:ilvl w:val="0"/>
          <w:numId w:val="2"/>
        </w:numPr>
        <w:spacing w:after="90"/>
      </w:pPr>
      <w:r>
        <w:rPr>
          <w:rFonts w:ascii="Calibri" w:cs="Calibri" w:eastAsia="Calibri" w:hAnsi="Calibri"/>
          <w:b/>
          <w:bCs/>
          <w:sz w:val="21"/>
          <w:szCs w:val="21"/>
        </w:rPr>
        <w:t xml:space="preserve">Coordinator, not an autonomous author: </w:t>
      </w:r>
      <w:r>
        <w:rPr>
          <w:rFonts w:ascii="Calibri" w:cs="Calibri" w:eastAsia="Calibri" w:hAnsi="Calibri"/>
          <w:sz w:val="21"/>
          <w:szCs w:val="21"/>
        </w:rPr>
        <w:t xml:space="preserve">the agent drafts and assembles; faculty own every claim, argument, and submission decision.</w:t>
      </w:r>
    </w:p>
    <w:p>
      <w:pPr>
        <w:pStyle w:val="ListParagraph"/>
        <w:numPr>
          <w:ilvl w:val="0"/>
          <w:numId w:val="2"/>
        </w:numPr>
        <w:spacing w:after="90"/>
      </w:pPr>
      <w:r>
        <w:rPr>
          <w:rFonts w:ascii="Calibri" w:cs="Calibri" w:eastAsia="Calibri" w:hAnsi="Calibri"/>
          <w:b/>
          <w:bCs/>
          <w:sz w:val="21"/>
          <w:szCs w:val="21"/>
        </w:rPr>
        <w:t xml:space="preserve">Grounded in real sources: </w:t>
      </w:r>
      <w:r>
        <w:rPr>
          <w:rFonts w:ascii="Calibri" w:cs="Calibri" w:eastAsia="Calibri" w:hAnsi="Calibri"/>
          <w:sz w:val="21"/>
          <w:szCs w:val="21"/>
        </w:rPr>
        <w:t xml:space="preserve">literature and citations come from scholarly databases, never invented references.</w:t>
      </w:r>
    </w:p>
    <w:p>
      <w:pPr>
        <w:pStyle w:val="ListParagraph"/>
        <w:numPr>
          <w:ilvl w:val="0"/>
          <w:numId w:val="2"/>
        </w:numPr>
        <w:spacing w:after="90"/>
      </w:pPr>
      <w:r>
        <w:rPr>
          <w:rFonts w:ascii="Calibri" w:cs="Calibri" w:eastAsia="Calibri" w:hAnsi="Calibri"/>
          <w:b/>
          <w:bCs/>
          <w:sz w:val="21"/>
          <w:szCs w:val="21"/>
        </w:rPr>
        <w:t xml:space="preserve">Deadline-aware: </w:t>
      </w:r>
      <w:r>
        <w:rPr>
          <w:rFonts w:ascii="Calibri" w:cs="Calibri" w:eastAsia="Calibri" w:hAnsi="Calibri"/>
          <w:sz w:val="21"/>
          <w:szCs w:val="21"/>
        </w:rPr>
        <w:t xml:space="preserve">journal and funding deadlines are tracked and surfaced proactively, not just on request.</w:t>
      </w:r>
    </w:p>
    <w:p>
      <w:pPr>
        <w:pStyle w:val="ListParagraph"/>
        <w:numPr>
          <w:ilvl w:val="0"/>
          <w:numId w:val="2"/>
        </w:numPr>
        <w:spacing w:after="90"/>
      </w:pPr>
      <w:r>
        <w:rPr>
          <w:rFonts w:ascii="Calibri" w:cs="Calibri" w:eastAsia="Calibri" w:hAnsi="Calibri"/>
          <w:b/>
          <w:bCs/>
          <w:sz w:val="21"/>
          <w:szCs w:val="21"/>
        </w:rPr>
        <w:t xml:space="preserve">Collaboration-ready: </w:t>
      </w:r>
      <w:r>
        <w:rPr>
          <w:rFonts w:ascii="Calibri" w:cs="Calibri" w:eastAsia="Calibri" w:hAnsi="Calibri"/>
          <w:sz w:val="21"/>
          <w:szCs w:val="21"/>
        </w:rPr>
        <w:t xml:space="preserve">supports multi-author workflows with clear ownership of sections and edits.</w:t>
      </w:r>
    </w:p>
    <w:p>
      <w:pPr>
        <w:pStyle w:val="Heading2"/>
        <w:spacing w:after="120" w:before="280"/>
      </w:pPr>
      <w:r>
        <w:t xml:space="preserve">How to Use This Document</w:t>
      </w:r>
    </w:p>
    <w:p>
      <w:pPr>
        <w:pStyle w:val="ListParagraph"/>
        <w:numPr>
          <w:ilvl w:val="0"/>
          <w:numId w:val="2"/>
        </w:numPr>
        <w:spacing w:after="90"/>
      </w:pPr>
      <w:r>
        <w:rPr>
          <w:rFonts w:ascii="Calibri" w:cs="Calibri" w:eastAsia="Calibri" w:hAnsi="Calibri"/>
          <w:sz w:val="21"/>
          <w:szCs w:val="21"/>
        </w:rPr>
        <w:t xml:space="preserve">Start with the problem domain closest to the current research need (survey, proposal, or paper draft).</w:t>
      </w:r>
    </w:p>
    <w:p>
      <w:pPr>
        <w:pStyle w:val="ListParagraph"/>
        <w:numPr>
          <w:ilvl w:val="0"/>
          <w:numId w:val="2"/>
        </w:numPr>
        <w:spacing w:after="90"/>
      </w:pPr>
      <w:r>
        <w:rPr>
          <w:rFonts w:ascii="Calibri" w:cs="Calibri" w:eastAsia="Calibri" w:hAnsi="Calibri"/>
          <w:sz w:val="21"/>
          <w:szCs w:val="21"/>
        </w:rPr>
        <w:t xml:space="preserve">Use the prompt command to launch or relaunch the workflow for a specific paper/proposal.</w:t>
      </w:r>
    </w:p>
    <w:p>
      <w:pPr>
        <w:pStyle w:val="ListParagraph"/>
        <w:numPr>
          <w:ilvl w:val="0"/>
          <w:numId w:val="2"/>
        </w:numPr>
        <w:spacing w:after="90"/>
      </w:pPr>
      <w:r>
        <w:rPr>
          <w:rFonts w:ascii="Calibri" w:cs="Calibri" w:eastAsia="Calibri" w:hAnsi="Calibri"/>
          <w:sz w:val="21"/>
          <w:szCs w:val="21"/>
        </w:rPr>
        <w:t xml:space="preserve">Assign agents to student research-assistant roles where applicable.</w:t>
      </w:r>
    </w:p>
    <w:p>
      <w:pPr>
        <w:pStyle w:val="ListParagraph"/>
        <w:numPr>
          <w:ilvl w:val="0"/>
          <w:numId w:val="2"/>
        </w:numPr>
        <w:spacing w:after="90"/>
      </w:pPr>
      <w:r>
        <w:rPr>
          <w:rFonts w:ascii="Calibri" w:cs="Calibri" w:eastAsia="Calibri" w:hAnsi="Calibri"/>
          <w:sz w:val="21"/>
          <w:szCs w:val="21"/>
        </w:rPr>
        <w:t xml:space="preserve">Use the hybrid methodology table to see what can run in parallel.</w:t>
      </w:r>
    </w:p>
    <w:p>
      <w:pPr>
        <w:pStyle w:val="Heading1"/>
        <w:spacing w:after="160" w:before="360"/>
      </w:pPr>
      <w:r>
        <w:t xml:space="preserve">Problem Statement</w:t>
      </w:r>
    </w:p>
    <w:p>
      <w:pPr>
        <w:spacing w:after="140"/>
      </w:pPr>
      <w:r>
        <w:rPr>
          <w:rFonts w:ascii="Calibri" w:cs="Calibri" w:eastAsia="Calibri" w:hAnsi="Calibri"/>
          <w:sz w:val="22"/>
          <w:szCs w:val="22"/>
        </w:rPr>
        <w:t xml:space="preserve">Faculty problem cluster: literature survey and gap discovery are slow; drafting and citation formatting for different venues is repetitive; tracking journal/funding deadlines is manual; validating a draft's originality and citation accuracy is time-consuming.</w:t>
      </w:r>
    </w:p>
    <w:p>
      <w:pPr>
        <w:pStyle w:val="Heading3"/>
        <w:spacing w:after="100" w:before="220"/>
      </w:pPr>
      <w:r>
        <w:t xml:space="preserve">Problems heard</w:t>
      </w:r>
    </w:p>
    <w:p>
      <w:pPr>
        <w:pStyle w:val="ListParagraph"/>
        <w:numPr>
          <w:ilvl w:val="0"/>
          <w:numId w:val="2"/>
        </w:numPr>
        <w:spacing w:after="90"/>
      </w:pPr>
      <w:r>
        <w:rPr>
          <w:rFonts w:ascii="Calibri" w:cs="Calibri" w:eastAsia="Calibri" w:hAnsi="Calibri"/>
          <w:sz w:val="21"/>
          <w:szCs w:val="21"/>
        </w:rPr>
        <w:t xml:space="preserve">Literature search across scholarly databases for a new problem area takes significant manual effort.</w:t>
      </w:r>
    </w:p>
    <w:p>
      <w:pPr>
        <w:pStyle w:val="ListParagraph"/>
        <w:numPr>
          <w:ilvl w:val="0"/>
          <w:numId w:val="2"/>
        </w:numPr>
        <w:spacing w:after="90"/>
      </w:pPr>
      <w:r>
        <w:rPr>
          <w:rFonts w:ascii="Calibri" w:cs="Calibri" w:eastAsia="Calibri" w:hAnsi="Calibri"/>
          <w:sz w:val="21"/>
          <w:szCs w:val="21"/>
        </w:rPr>
        <w:t xml:space="preserve">Identifying what is genuinely novel (the gap) versus already published is hard to confirm quickly.</w:t>
      </w:r>
    </w:p>
    <w:p>
      <w:pPr>
        <w:pStyle w:val="ListParagraph"/>
        <w:numPr>
          <w:ilvl w:val="0"/>
          <w:numId w:val="2"/>
        </w:numPr>
        <w:spacing w:after="90"/>
      </w:pPr>
      <w:r>
        <w:rPr>
          <w:rFonts w:ascii="Calibri" w:cs="Calibri" w:eastAsia="Calibri" w:hAnsi="Calibri"/>
          <w:sz w:val="21"/>
          <w:szCs w:val="21"/>
        </w:rPr>
        <w:t xml:space="preserve">Drafting is fine, but citation formatting and compliance with a specific venue's template is repetitive.</w:t>
      </w:r>
    </w:p>
    <w:p>
      <w:pPr>
        <w:pStyle w:val="ListParagraph"/>
        <w:numPr>
          <w:ilvl w:val="0"/>
          <w:numId w:val="2"/>
        </w:numPr>
        <w:spacing w:after="90"/>
      </w:pPr>
      <w:r>
        <w:rPr>
          <w:rFonts w:ascii="Calibri" w:cs="Calibri" w:eastAsia="Calibri" w:hAnsi="Calibri"/>
          <w:sz w:val="21"/>
          <w:szCs w:val="21"/>
        </w:rPr>
        <w:t xml:space="preserve">New journals, calls for papers, and funding deadlines are often discovered late, by chance web searches.</w:t>
      </w:r>
    </w:p>
    <w:p>
      <w:pPr>
        <w:pStyle w:val="ListParagraph"/>
        <w:numPr>
          <w:ilvl w:val="0"/>
          <w:numId w:val="2"/>
        </w:numPr>
        <w:spacing w:after="90"/>
      </w:pPr>
      <w:r>
        <w:rPr>
          <w:rFonts w:ascii="Calibri" w:cs="Calibri" w:eastAsia="Calibri" w:hAnsi="Calibri"/>
          <w:sz w:val="21"/>
          <w:szCs w:val="21"/>
        </w:rPr>
        <w:t xml:space="preserve">Coordinating drafts and edits across multiple co-authors is currently ad hoc (email, shared docs).</w:t>
      </w:r>
    </w:p>
    <w:p>
      <w:pPr>
        <w:pStyle w:val="Heading1"/>
        <w:spacing w:after="160" w:before="360"/>
      </w:pPr>
      <w:r>
        <w:t xml:space="preserve">Research Inputs and Data Model</w:t>
      </w:r>
    </w:p>
    <w:p>
      <w:pPr>
        <w:spacing w:after="140"/>
      </w:pPr>
      <w:r>
        <w:rPr>
          <w:rFonts w:ascii="Calibri" w:cs="Calibri" w:eastAsia="Calibri" w:hAnsi="Calibri"/>
          <w:sz w:val="22"/>
          <w:szCs w:val="22"/>
        </w:rPr>
        <w:t xml:space="preserve">The agent works from a small set of structured inputs per research task, plus faculty-maintained reference material: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B2A4A" w:val="clear"/>
            <w:tcMar>
              <w:top w:type="dxa" w:w="90"/>
              <w:left w:type="dxa" w:w="110"/>
              <w:bottom w:type="dxa" w:w="90"/>
              <w:right w:type="dxa" w:w="110"/>
            </w:tcMar>
          </w:tcPr>
          <w:p>
            <w:pPr>
              <w:jc w:val="left"/>
            </w:pPr>
            <w:r>
              <w:rPr>
                <w:rFonts w:ascii="Calibri" w:cs="Calibri" w:eastAsia="Calibri" w:hAnsi="Calibri"/>
                <w:b/>
                <w:bCs/>
                <w:color w:val="FFFFFF"/>
                <w:sz w:val="19"/>
                <w:szCs w:val="19"/>
              </w:rPr>
              <w:t xml:space="preserve">Input</w:t>
            </w:r>
          </w:p>
        </w:tc>
        <w:tc>
          <w:tcPr>
            <w:tcW w:type="dxa" w:w="6750"/>
            <w:shd w:fill="1B2A4A" w:val="clear"/>
            <w:tcMar>
              <w:top w:type="dxa" w:w="90"/>
              <w:left w:type="dxa" w:w="110"/>
              <w:bottom w:type="dxa" w:w="90"/>
              <w:right w:type="dxa" w:w="110"/>
            </w:tcMar>
          </w:tcPr>
          <w:p>
            <w:pPr>
              <w:jc w:val="left"/>
            </w:pPr>
            <w:r>
              <w:rPr>
                <w:rFonts w:ascii="Calibri" w:cs="Calibri" w:eastAsia="Calibri" w:hAnsi="Calibri"/>
                <w:b/>
                <w:bCs/>
                <w:color w:val="FFFFFF"/>
                <w:sz w:val="19"/>
                <w:szCs w:val="19"/>
              </w:rPr>
              <w:t xml:space="preserve">Description</w:t>
            </w:r>
          </w:p>
        </w:tc>
      </w:tr>
      <w:tr>
        <w:tc>
          <w:tcPr>
            <w:tcW w:type="dxa" w:w="2600"/>
            <w:shd w:fill="EDEFF4" w:val="clear"/>
            <w:tcMar>
              <w:top w:type="dxa" w:w="90"/>
              <w:left w:type="dxa" w:w="110"/>
              <w:bottom w:type="dxa" w:w="90"/>
              <w:right w:type="dxa" w:w="110"/>
            </w:tcMar>
          </w:tcPr>
          <w:p>
            <w:pPr>
              <w:jc w:val="left"/>
            </w:pPr>
            <w:r>
              <w:rPr>
                <w:rFonts w:ascii="Calibri" w:cs="Calibri" w:eastAsia="Calibri" w:hAnsi="Calibri"/>
                <w:b/>
                <w:bCs/>
                <w:sz w:val="19"/>
                <w:szCs w:val="19"/>
              </w:rPr>
              <w:t xml:space="preserve">Research question / topic</w:t>
            </w:r>
          </w:p>
        </w:tc>
        <w:tc>
          <w:tcPr>
            <w:tcW w:type="dxa" w:w="6750"/>
            <w:shd w:fill="EDEFF4" w:val="clear"/>
            <w:tcMar>
              <w:top w:type="dxa" w:w="90"/>
              <w:left w:type="dxa" w:w="110"/>
              <w:bottom w:type="dxa" w:w="90"/>
              <w:right w:type="dxa" w:w="110"/>
            </w:tcMar>
          </w:tcPr>
          <w:p>
            <w:pPr>
              <w:jc w:val="left"/>
            </w:pPr>
            <w:r>
              <w:rPr>
                <w:rFonts w:ascii="Calibri" w:cs="Calibri" w:eastAsia="Calibri" w:hAnsi="Calibri"/>
                <w:b w:val="false"/>
                <w:bCs w:val="false"/>
                <w:sz w:val="19"/>
                <w:szCs w:val="19"/>
              </w:rPr>
              <w:t xml:space="preserve">The problem area, keywords, and scope for the current task.</w:t>
            </w:r>
          </w:p>
        </w:tc>
      </w:tr>
      <w:tr>
        <w:tc>
          <w:tcPr>
            <w:tcW w:type="dxa" w:w="2600"/>
            <w:shd w:fill="FFFFFF" w:val="clear"/>
            <w:tcMar>
              <w:top w:type="dxa" w:w="90"/>
              <w:left w:type="dxa" w:w="110"/>
              <w:bottom w:type="dxa" w:w="90"/>
              <w:right w:type="dxa" w:w="110"/>
            </w:tcMar>
          </w:tcPr>
          <w:p>
            <w:pPr>
              <w:jc w:val="left"/>
            </w:pPr>
            <w:r>
              <w:rPr>
                <w:rFonts w:ascii="Calibri" w:cs="Calibri" w:eastAsia="Calibri" w:hAnsi="Calibri"/>
                <w:b/>
                <w:bCs/>
                <w:sz w:val="19"/>
                <w:szCs w:val="19"/>
              </w:rPr>
              <w:t xml:space="preserve">Target venue</w:t>
            </w:r>
          </w:p>
        </w:tc>
        <w:tc>
          <w:tcPr>
            <w:tcW w:type="dxa" w:w="6750"/>
            <w:shd w:fill="FFFFFF" w:val="clear"/>
            <w:tcMar>
              <w:top w:type="dxa" w:w="90"/>
              <w:left w:type="dxa" w:w="110"/>
              <w:bottom w:type="dxa" w:w="90"/>
              <w:right w:type="dxa" w:w="110"/>
            </w:tcMar>
          </w:tcPr>
          <w:p>
            <w:pPr>
              <w:jc w:val="left"/>
            </w:pPr>
            <w:r>
              <w:rPr>
                <w:rFonts w:ascii="Calibri" w:cs="Calibri" w:eastAsia="Calibri" w:hAnsi="Calibri"/>
                <w:b w:val="false"/>
                <w:bCs w:val="false"/>
                <w:sz w:val="19"/>
                <w:szCs w:val="19"/>
              </w:rPr>
              <w:t xml:space="preserve">Journal, conference, or funding call, with its citation style and page/word limits.</w:t>
            </w:r>
          </w:p>
        </w:tc>
      </w:tr>
      <w:tr>
        <w:tc>
          <w:tcPr>
            <w:tcW w:type="dxa" w:w="2600"/>
            <w:shd w:fill="EDEFF4" w:val="clear"/>
            <w:tcMar>
              <w:top w:type="dxa" w:w="90"/>
              <w:left w:type="dxa" w:w="110"/>
              <w:bottom w:type="dxa" w:w="90"/>
              <w:right w:type="dxa" w:w="110"/>
            </w:tcMar>
          </w:tcPr>
          <w:p>
            <w:pPr>
              <w:jc w:val="left"/>
            </w:pPr>
            <w:r>
              <w:rPr>
                <w:rFonts w:ascii="Calibri" w:cs="Calibri" w:eastAsia="Calibri" w:hAnsi="Calibri"/>
                <w:b/>
                <w:bCs/>
                <w:sz w:val="19"/>
                <w:szCs w:val="19"/>
              </w:rPr>
              <w:t xml:space="preserve">Prior work library</w:t>
            </w:r>
          </w:p>
        </w:tc>
        <w:tc>
          <w:tcPr>
            <w:tcW w:type="dxa" w:w="6750"/>
            <w:shd w:fill="EDEFF4" w:val="clear"/>
            <w:tcMar>
              <w:top w:type="dxa" w:w="90"/>
              <w:left w:type="dxa" w:w="110"/>
              <w:bottom w:type="dxa" w:w="90"/>
              <w:right w:type="dxa" w:w="110"/>
            </w:tcMar>
          </w:tcPr>
          <w:p>
            <w:pPr>
              <w:jc w:val="left"/>
            </w:pPr>
            <w:r>
              <w:rPr>
                <w:rFonts w:ascii="Calibri" w:cs="Calibri" w:eastAsia="Calibri" w:hAnsi="Calibri"/>
                <w:b w:val="false"/>
                <w:bCs w:val="false"/>
                <w:sz w:val="19"/>
                <w:szCs w:val="19"/>
              </w:rPr>
              <w:t xml:space="preserve">Faculty's own past papers, proposals, and citation library for style and self-citation consistency.</w:t>
            </w:r>
          </w:p>
        </w:tc>
      </w:tr>
      <w:tr>
        <w:tc>
          <w:tcPr>
            <w:tcW w:type="dxa" w:w="2600"/>
            <w:shd w:fill="FFFFFF" w:val="clear"/>
            <w:tcMar>
              <w:top w:type="dxa" w:w="90"/>
              <w:left w:type="dxa" w:w="110"/>
              <w:bottom w:type="dxa" w:w="90"/>
              <w:right w:type="dxa" w:w="110"/>
            </w:tcMar>
          </w:tcPr>
          <w:p>
            <w:pPr>
              <w:jc w:val="left"/>
            </w:pPr>
            <w:r>
              <w:rPr>
                <w:rFonts w:ascii="Calibri" w:cs="Calibri" w:eastAsia="Calibri" w:hAnsi="Calibri"/>
                <w:b/>
                <w:bCs/>
                <w:sz w:val="19"/>
                <w:szCs w:val="19"/>
              </w:rPr>
              <w:t xml:space="preserve">Collaborator list</w:t>
            </w:r>
          </w:p>
        </w:tc>
        <w:tc>
          <w:tcPr>
            <w:tcW w:type="dxa" w:w="6750"/>
            <w:shd w:fill="FFFFFF" w:val="clear"/>
            <w:tcMar>
              <w:top w:type="dxa" w:w="90"/>
              <w:left w:type="dxa" w:w="110"/>
              <w:bottom w:type="dxa" w:w="90"/>
              <w:right w:type="dxa" w:w="110"/>
            </w:tcMar>
          </w:tcPr>
          <w:p>
            <w:pPr>
              <w:jc w:val="left"/>
            </w:pPr>
            <w:r>
              <w:rPr>
                <w:rFonts w:ascii="Calibri" w:cs="Calibri" w:eastAsia="Calibri" w:hAnsi="Calibri"/>
                <w:b w:val="false"/>
                <w:bCs w:val="false"/>
                <w:sz w:val="19"/>
                <w:szCs w:val="19"/>
              </w:rPr>
              <w:t xml:space="preserve">Co-authors and their section ownership, if the draft is multi-author.</w:t>
            </w:r>
          </w:p>
        </w:tc>
      </w:tr>
      <w:tr>
        <w:tc>
          <w:tcPr>
            <w:tcW w:type="dxa" w:w="2600"/>
            <w:shd w:fill="EDEFF4" w:val="clear"/>
            <w:tcMar>
              <w:top w:type="dxa" w:w="90"/>
              <w:left w:type="dxa" w:w="110"/>
              <w:bottom w:type="dxa" w:w="90"/>
              <w:right w:type="dxa" w:w="110"/>
            </w:tcMar>
          </w:tcPr>
          <w:p>
            <w:pPr>
              <w:jc w:val="left"/>
            </w:pPr>
            <w:r>
              <w:rPr>
                <w:rFonts w:ascii="Calibri" w:cs="Calibri" w:eastAsia="Calibri" w:hAnsi="Calibri"/>
                <w:b/>
                <w:bCs/>
                <w:sz w:val="19"/>
                <w:szCs w:val="19"/>
              </w:rPr>
              <w:t xml:space="preserve">Deadline</w:t>
            </w:r>
          </w:p>
        </w:tc>
        <w:tc>
          <w:tcPr>
            <w:tcW w:type="dxa" w:w="6750"/>
            <w:shd w:fill="EDEFF4" w:val="clear"/>
            <w:tcMar>
              <w:top w:type="dxa" w:w="90"/>
              <w:left w:type="dxa" w:w="110"/>
              <w:bottom w:type="dxa" w:w="90"/>
              <w:right w:type="dxa" w:w="110"/>
            </w:tcMar>
          </w:tcPr>
          <w:p>
            <w:pPr>
              <w:jc w:val="left"/>
            </w:pPr>
            <w:r>
              <w:rPr>
                <w:rFonts w:ascii="Calibri" w:cs="Calibri" w:eastAsia="Calibri" w:hAnsi="Calibri"/>
                <w:b w:val="false"/>
                <w:bCs w:val="false"/>
                <w:sz w:val="19"/>
                <w:szCs w:val="19"/>
              </w:rPr>
              <w:t xml:space="preserve">Submission or funding-call deadline to track and alert against.</w:t>
            </w:r>
          </w:p>
        </w:tc>
      </w:tr>
    </w:tbl>
    <w:p>
      <w:pPr>
        <w:pStyle w:val="Heading1"/>
        <w:spacing w:after="160" w:before="360"/>
      </w:pPr>
      <w:r>
        <w:t xml:space="preserve">AI Solution Direction</w:t>
      </w:r>
    </w:p>
    <w:p>
      <w:pPr>
        <w:spacing w:after="140"/>
      </w:pPr>
      <w:r>
        <w:rPr>
          <w:rFonts w:ascii="Calibri" w:cs="Calibri" w:eastAsia="Calibri" w:hAnsi="Calibri"/>
          <w:sz w:val="22"/>
          <w:szCs w:val="22"/>
        </w:rPr>
        <w:t xml:space="preserve">Build a Research Assistant that treats each task as: discover → analyze → draft → check → track, always pausing at faculty review before anything leaves the system. Literature discovery uses scholarly metadata sources (not general web search) and returns ranked, summarized results with links, not fabricated citations. Gap analysis compares the discovered literature against the stated research question and flags where the idea is genuinely under-explored versus already covered.</w:t>
      </w:r>
    </w:p>
    <w:p>
      <w:pPr>
        <w:spacing w:after="140"/>
      </w:pPr>
      <w:r>
        <w:rPr>
          <w:rFonts w:ascii="Calibri" w:cs="Calibri" w:eastAsia="Calibri" w:hAnsi="Calibri"/>
          <w:sz w:val="22"/>
          <w:szCs w:val="22"/>
        </w:rPr>
        <w:t xml:space="preserve">Drafting produces outline-first content in the target venue's structure; citation and compliance checking verifies formatting, reference completeness, and self-consistency before faculty sees a “ready” draft. A funding/journal radar agent runs continuously in the background, independent of any single paper, to surface upcoming deadlines relevant to faculty's stated interests.</w:t>
      </w:r>
    </w:p>
    <w:tbl>
      <w:tblPr>
        <w:tblW w:type="dxa" w:w="9350"/>
        <w:tblBorders>
          <w:top w:val="single" w:color="1B2A4A" w:sz="6"/>
          <w:left w:val="single" w:color="1B2A4A" w:sz="6"/>
          <w:bottom w:val="single" w:color="1B2A4A" w:sz="6"/>
          <w:right w:val="single" w:color="1B2A4A" w:sz="6"/>
          <w:insideH w:val="single" w:color="auto" w:sz="4"/>
          <w:insideV w:val="single" w:color="auto" w:sz="4"/>
        </w:tblBorders>
      </w:tblPr>
      <w:tblGrid>
        <w:gridCol w:w="9350"/>
      </w:tblGrid>
      <w:tr>
        <w:tc>
          <w:tcPr>
            <w:tcW w:type="dxa" w:w="9350"/>
            <w:shd w:fill="F2F2F2" w:val="clear"/>
            <w:tcMar>
              <w:top w:type="dxa" w:w="160"/>
              <w:left w:type="dxa" w:w="200"/>
              <w:bottom w:type="dxa" w:w="160"/>
              <w:right w:type="dxa" w:w="200"/>
            </w:tcMar>
          </w:tcPr>
          <w:p>
            <w:pPr>
              <w:spacing w:after="80"/>
            </w:pPr>
            <w:r>
              <w:rPr>
                <w:rFonts w:ascii="Calibri" w:cs="Calibri" w:eastAsia="Calibri" w:hAnsi="Calibri"/>
                <w:b/>
                <w:bCs/>
                <w:color w:val="1B2A4A"/>
                <w:sz w:val="20"/>
                <w:szCs w:val="20"/>
              </w:rPr>
              <w:t xml:space="preserve">Prompt command for faculty to reuse:</w:t>
            </w:r>
          </w:p>
          <w:p>
            <w:pPr>
              <w:spacing w:after="40"/>
            </w:pPr>
            <w:r>
              <w:rPr>
                <w:rFonts w:ascii="Consolas" w:cs="Consolas" w:eastAsia="Consolas" w:hAnsi="Consolas"/>
                <w:color w:val="222222"/>
                <w:sz w:val="18"/>
                <w:szCs w:val="18"/>
              </w:rPr>
              <w:t xml:space="preserve">/research-agent start-workflow \</w:t>
            </w:r>
          </w:p>
          <w:p>
            <w:pPr>
              <w:spacing w:after="40"/>
            </w:pPr>
            <w:r>
              <w:rPr>
                <w:rFonts w:ascii="Consolas" w:cs="Consolas" w:eastAsia="Consolas" w:hAnsi="Consolas"/>
                <w:color w:val="222222"/>
                <w:sz w:val="18"/>
                <w:szCs w:val="18"/>
              </w:rPr>
              <w:t xml:space="preserve">  --topic "edge AI hardware porting frameworks" \</w:t>
            </w:r>
          </w:p>
          <w:p>
            <w:pPr>
              <w:spacing w:after="40"/>
            </w:pPr>
            <w:r>
              <w:rPr>
                <w:rFonts w:ascii="Consolas" w:cs="Consolas" w:eastAsia="Consolas" w:hAnsi="Consolas"/>
                <w:color w:val="222222"/>
                <w:sz w:val="18"/>
                <w:szCs w:val="18"/>
              </w:rPr>
              <w:t xml:space="preserve">  --venue "IEEE conference, IMRAD, 6-page limit" \</w:t>
            </w:r>
          </w:p>
          <w:p>
            <w:pPr>
              <w:spacing w:after="40"/>
            </w:pPr>
            <w:r>
              <w:rPr>
                <w:rFonts w:ascii="Consolas" w:cs="Consolas" w:eastAsia="Consolas" w:hAnsi="Consolas"/>
                <w:color w:val="222222"/>
                <w:sz w:val="18"/>
                <w:szCs w:val="18"/>
              </w:rPr>
              <w:t xml:space="preserve">  --collaborators "self, co-author" \</w:t>
            </w:r>
          </w:p>
          <w:p>
            <w:pPr>
              <w:spacing w:after="40"/>
            </w:pPr>
            <w:r>
              <w:rPr>
                <w:rFonts w:ascii="Consolas" w:cs="Consolas" w:eastAsia="Consolas" w:hAnsi="Consolas"/>
                <w:color w:val="222222"/>
                <w:sz w:val="18"/>
                <w:szCs w:val="18"/>
              </w:rPr>
              <w:t xml:space="preserve">  --deadline "2026-09-15" \</w:t>
            </w:r>
          </w:p>
          <w:p>
            <w:pPr>
              <w:spacing w:after="40"/>
            </w:pPr>
            <w:r>
              <w:rPr>
                <w:rFonts w:ascii="Consolas" w:cs="Consolas" w:eastAsia="Consolas" w:hAnsi="Consolas"/>
                <w:color w:val="222222"/>
                <w:sz w:val="18"/>
                <w:szCs w:val="18"/>
              </w:rPr>
              <w:t xml:space="preserve">  --outputs "ranked reading list, gap summary, outline, draft, citation check" \</w:t>
            </w:r>
          </w:p>
          <w:p>
            <w:pPr>
              <w:spacing w:after="40"/>
            </w:pPr>
            <w:r>
              <w:rPr>
                <w:rFonts w:ascii="Consolas" w:cs="Consolas" w:eastAsia="Consolas" w:hAnsi="Consolas"/>
                <w:color w:val="222222"/>
                <w:sz w:val="18"/>
                <w:szCs w:val="18"/>
              </w:rPr>
              <w:t xml:space="preserve">  --constraints "faculty approval before submission, no fabricated citations, audit log"</w:t>
            </w:r>
          </w:p>
        </w:tc>
      </w:tr>
    </w:tbl>
    <w:p>
      <w:pPr>
        <w:pStyle w:val="Heading1"/>
        <w:spacing w:after="160" w:before="360"/>
      </w:pPr>
      <w:r>
        <w:t xml:space="preserve">Recommended Workflow</w:t>
      </w:r>
    </w:p>
    <w:p>
      <w:pPr>
        <w:pStyle w:val="ListParagraph"/>
        <w:numPr>
          <w:ilvl w:val="0"/>
          <w:numId w:val="2"/>
        </w:numPr>
        <w:spacing w:after="90"/>
      </w:pPr>
      <w:r>
        <w:rPr>
          <w:rFonts w:ascii="Calibri" w:cs="Calibri" w:eastAsia="Calibri" w:hAnsi="Calibri"/>
          <w:sz w:val="21"/>
          <w:szCs w:val="21"/>
        </w:rPr>
        <w:t xml:space="preserve">Faculty states the research question, target venue, collaborators, and deadline.</w:t>
      </w:r>
    </w:p>
    <w:p>
      <w:pPr>
        <w:pStyle w:val="ListParagraph"/>
        <w:numPr>
          <w:ilvl w:val="0"/>
          <w:numId w:val="2"/>
        </w:numPr>
        <w:spacing w:after="90"/>
      </w:pPr>
      <w:r>
        <w:rPr>
          <w:rFonts w:ascii="Calibri" w:cs="Calibri" w:eastAsia="Calibri" w:hAnsi="Calibri"/>
          <w:sz w:val="21"/>
          <w:szCs w:val="21"/>
        </w:rPr>
        <w:t xml:space="preserve">The Literature Discovery Agent searches scholarly metadata sources and returns a ranked reading list with summaries.</w:t>
      </w:r>
    </w:p>
    <w:p>
      <w:pPr>
        <w:pStyle w:val="ListParagraph"/>
        <w:numPr>
          <w:ilvl w:val="0"/>
          <w:numId w:val="2"/>
        </w:numPr>
        <w:spacing w:after="90"/>
      </w:pPr>
      <w:r>
        <w:rPr>
          <w:rFonts w:ascii="Calibri" w:cs="Calibri" w:eastAsia="Calibri" w:hAnsi="Calibri"/>
          <w:sz w:val="21"/>
          <w:szCs w:val="21"/>
        </w:rPr>
        <w:t xml:space="preserve">The Gap &amp; Idea Analysis Agent compares the stated question against discovered literature and flags what is genuinely novel.</w:t>
      </w:r>
    </w:p>
    <w:p>
      <w:pPr>
        <w:pStyle w:val="ListParagraph"/>
        <w:numPr>
          <w:ilvl w:val="0"/>
          <w:numId w:val="2"/>
        </w:numPr>
        <w:spacing w:after="90"/>
      </w:pPr>
      <w:r>
        <w:rPr>
          <w:rFonts w:ascii="Calibri" w:cs="Calibri" w:eastAsia="Calibri" w:hAnsi="Calibri"/>
          <w:sz w:val="21"/>
          <w:szCs w:val="21"/>
        </w:rPr>
        <w:t xml:space="preserve">The Drafting &amp; Writing Agent produces an outline first, then a full draft only after faculty confirms the outline.</w:t>
      </w:r>
    </w:p>
    <w:p>
      <w:pPr>
        <w:pStyle w:val="ListParagraph"/>
        <w:numPr>
          <w:ilvl w:val="0"/>
          <w:numId w:val="2"/>
        </w:numPr>
        <w:spacing w:after="90"/>
      </w:pPr>
      <w:r>
        <w:rPr>
          <w:rFonts w:ascii="Calibri" w:cs="Calibri" w:eastAsia="Calibri" w:hAnsi="Calibri"/>
          <w:sz w:val="21"/>
          <w:szCs w:val="21"/>
        </w:rPr>
        <w:t xml:space="preserve">The Citation &amp; Compliance Agent checks formatting, reference completeness, and venue-specific requirements.</w:t>
      </w:r>
    </w:p>
    <w:p>
      <w:pPr>
        <w:pStyle w:val="ListParagraph"/>
        <w:numPr>
          <w:ilvl w:val="0"/>
          <w:numId w:val="2"/>
        </w:numPr>
        <w:spacing w:after="90"/>
      </w:pPr>
      <w:r>
        <w:rPr>
          <w:rFonts w:ascii="Calibri" w:cs="Calibri" w:eastAsia="Calibri" w:hAnsi="Calibri"/>
          <w:sz w:val="21"/>
          <w:szCs w:val="21"/>
        </w:rPr>
        <w:t xml:space="preserve">The Funding/Journal Radar Agent runs independently, surfacing upcoming deadlines relevant to faculty's interests.</w:t>
      </w:r>
    </w:p>
    <w:p>
      <w:pPr>
        <w:pStyle w:val="ListParagraph"/>
        <w:numPr>
          <w:ilvl w:val="0"/>
          <w:numId w:val="2"/>
        </w:numPr>
        <w:spacing w:after="90"/>
      </w:pPr>
      <w:r>
        <w:rPr>
          <w:rFonts w:ascii="Calibri" w:cs="Calibri" w:eastAsia="Calibri" w:hAnsi="Calibri"/>
          <w:sz w:val="21"/>
          <w:szCs w:val="21"/>
        </w:rPr>
        <w:t xml:space="preserve">The Collaboration Agent tracks section ownership and consolidates co-author edits into one version.</w:t>
      </w:r>
    </w:p>
    <w:p>
      <w:pPr>
        <w:pStyle w:val="ListParagraph"/>
        <w:numPr>
          <w:ilvl w:val="0"/>
          <w:numId w:val="2"/>
        </w:numPr>
        <w:spacing w:after="90"/>
      </w:pPr>
      <w:r>
        <w:rPr>
          <w:rFonts w:ascii="Calibri" w:cs="Calibri" w:eastAsia="Calibri" w:hAnsi="Calibri"/>
          <w:sz w:val="21"/>
          <w:szCs w:val="21"/>
        </w:rPr>
        <w:t xml:space="preserve">Faculty reviews, approves, or requests revisions before anything is exported or submitted.</w:t>
      </w:r>
    </w:p>
    <w:p>
      <w:pPr>
        <w:pStyle w:val="ListParagraph"/>
        <w:numPr>
          <w:ilvl w:val="0"/>
          <w:numId w:val="2"/>
        </w:numPr>
        <w:spacing w:after="90"/>
      </w:pPr>
      <w:r>
        <w:rPr>
          <w:rFonts w:ascii="Calibri" w:cs="Calibri" w:eastAsia="Calibri" w:hAnsi="Calibri"/>
          <w:sz w:val="21"/>
          <w:szCs w:val="21"/>
        </w:rPr>
        <w:t xml:space="preserve">The Export &amp; Repository Agent produces the final formatted document and logs it to the research tracker.</w:t>
      </w:r>
    </w:p>
    <w:p>
      <w:pPr>
        <w:pStyle w:val="Heading1"/>
        <w:spacing w:after="160" w:before="360"/>
      </w:pPr>
      <w:r>
        <w:t xml:space="preserve">Agentic Execution Node Graph</w:t>
      </w:r>
    </w:p>
    <w:p>
      <w:pPr>
        <w:spacing w:after="140"/>
      </w:pPr>
      <w:r>
        <w:rPr>
          <w:rFonts w:ascii="Calibri" w:cs="Calibri" w:eastAsia="Calibri" w:hAnsi="Calibri"/>
          <w:sz w:val="22"/>
          <w:szCs w:val="22"/>
        </w:rPr>
        <w:t xml:space="preserve">Execution blueprint: each node can be built, tested, and demoed independently before wiring into the full coordinator.</w:t>
      </w:r>
    </w:p>
    <w:p>
      <w:pPr>
        <w:spacing w:after="60" w:before="120"/>
        <w:jc w:val="center"/>
      </w:pPr>
      <w:r>
        <w:drawing>
          <wp:inline distT="0" distB="0" distL="0" distR="0">
            <wp:extent cx="542925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29250" cy="3533775"/>
                    </a:xfrm>
                    <a:prstGeom prst="rect">
                      <a:avLst/>
                    </a:prstGeom>
                  </pic:spPr>
                </pic:pic>
              </a:graphicData>
            </a:graphic>
          </wp:inline>
        </w:drawing>
      </w:r>
    </w:p>
    <w:p>
      <w:pPr>
        <w:spacing w:after="200"/>
        <w:jc w:val="center"/>
      </w:pPr>
      <w:r>
        <w:rPr>
          <w:rFonts w:ascii="Calibri" w:cs="Calibri" w:eastAsia="Calibri" w:hAnsi="Calibri"/>
          <w:i/>
          <w:iCs/>
          <w:color w:val="5B6472"/>
          <w:sz w:val="18"/>
          <w:szCs w:val="18"/>
        </w:rPr>
        <w:t xml:space="preserve">Research Assistant Coordinator and its agents.</w:t>
      </w:r>
    </w:p>
    <w:p>
      <w:pPr>
        <w:pStyle w:val="Heading1"/>
        <w:spacing w:after="160" w:before="360"/>
      </w:pPr>
      <w:r>
        <w:t xml:space="preserve">Agent Roles, Communication Order, and Guardrails</w:t>
      </w:r>
    </w:p>
    <w:p>
      <w:pPr>
        <w:spacing w:after="140"/>
      </w:pPr>
      <w:r>
        <w:rPr>
          <w:rFonts w:ascii="Calibri" w:cs="Calibri" w:eastAsia="Calibri" w:hAnsi="Calibri"/>
          <w:sz w:val="22"/>
          <w:szCs w:val="22"/>
        </w:rPr>
        <w:t xml:space="preserve">The Research Assistant Coordinator receives the faculty request, initializes agents with scoped instructions, collects outputs, routes exceptions to faculty, and publishes only approved artifacts.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3900"/>
        <w:gridCol w:w="2850"/>
      </w:tblGrid>
      <w:tr>
        <w:trPr>
          <w:tblHeader/>
        </w:trPr>
        <w:tc>
          <w:tcPr>
            <w:tcW w:type="dxa" w:w="700"/>
            <w:shd w:fill="1B2A4A" w:val="clear"/>
            <w:tcMar>
              <w:top w:type="dxa" w:w="90"/>
              <w:left w:type="dxa" w:w="110"/>
              <w:bottom w:type="dxa" w:w="90"/>
              <w:right w:type="dxa" w:w="110"/>
            </w:tcMar>
          </w:tcPr>
          <w:p>
            <w:pPr>
              <w:jc w:val="left"/>
            </w:pPr>
            <w:r>
              <w:rPr>
                <w:rFonts w:ascii="Calibri" w:cs="Calibri" w:eastAsia="Calibri" w:hAnsi="Calibri"/>
                <w:b/>
                <w:bCs/>
                <w:color w:val="FFFFFF"/>
                <w:sz w:val="19"/>
                <w:szCs w:val="19"/>
              </w:rPr>
              <w:t xml:space="preserve">Order</w:t>
            </w:r>
          </w:p>
        </w:tc>
        <w:tc>
          <w:tcPr>
            <w:tcW w:type="dxa" w:w="1900"/>
            <w:shd w:fill="1B2A4A" w:val="clear"/>
            <w:tcMar>
              <w:top w:type="dxa" w:w="90"/>
              <w:left w:type="dxa" w:w="110"/>
              <w:bottom w:type="dxa" w:w="90"/>
              <w:right w:type="dxa" w:w="110"/>
            </w:tcMar>
          </w:tcPr>
          <w:p>
            <w:pPr>
              <w:jc w:val="left"/>
            </w:pPr>
            <w:r>
              <w:rPr>
                <w:rFonts w:ascii="Calibri" w:cs="Calibri" w:eastAsia="Calibri" w:hAnsi="Calibri"/>
                <w:b/>
                <w:bCs/>
                <w:color w:val="FFFFFF"/>
                <w:sz w:val="19"/>
                <w:szCs w:val="19"/>
              </w:rPr>
              <w:t xml:space="preserve">Agent</w:t>
            </w:r>
          </w:p>
        </w:tc>
        <w:tc>
          <w:tcPr>
            <w:tcW w:type="dxa" w:w="3900"/>
            <w:shd w:fill="1B2A4A" w:val="clear"/>
            <w:tcMar>
              <w:top w:type="dxa" w:w="90"/>
              <w:left w:type="dxa" w:w="110"/>
              <w:bottom w:type="dxa" w:w="90"/>
              <w:right w:type="dxa" w:w="110"/>
            </w:tcMar>
          </w:tcPr>
          <w:p>
            <w:pPr>
              <w:jc w:val="left"/>
            </w:pPr>
            <w:r>
              <w:rPr>
                <w:rFonts w:ascii="Calibri" w:cs="Calibri" w:eastAsia="Calibri" w:hAnsi="Calibri"/>
                <w:b/>
                <w:bCs/>
                <w:color w:val="FFFFFF"/>
                <w:sz w:val="19"/>
                <w:szCs w:val="19"/>
              </w:rPr>
              <w:t xml:space="preserve">Role and communication</w:t>
            </w:r>
          </w:p>
        </w:tc>
        <w:tc>
          <w:tcPr>
            <w:tcW w:type="dxa" w:w="2850"/>
            <w:shd w:fill="1B2A4A" w:val="clear"/>
            <w:tcMar>
              <w:top w:type="dxa" w:w="90"/>
              <w:left w:type="dxa" w:w="110"/>
              <w:bottom w:type="dxa" w:w="90"/>
              <w:right w:type="dxa" w:w="110"/>
            </w:tcMar>
          </w:tcPr>
          <w:p>
            <w:pPr>
              <w:jc w:val="left"/>
            </w:pPr>
            <w:r>
              <w:rPr>
                <w:rFonts w:ascii="Calibri" w:cs="Calibri" w:eastAsia="Calibri" w:hAnsi="Calibri"/>
                <w:b/>
                <w:bCs/>
                <w:color w:val="FFFFFF"/>
                <w:sz w:val="19"/>
                <w:szCs w:val="19"/>
              </w:rPr>
              <w:t xml:space="preserve">Guardrails</w:t>
            </w:r>
          </w:p>
        </w:tc>
      </w:tr>
      <w:tr>
        <w:tc>
          <w:tcPr>
            <w:tcW w:type="dxa" w:w="700"/>
            <w:shd w:fill="EDEFF4" w:val="clear"/>
            <w:tcMar>
              <w:top w:type="dxa" w:w="90"/>
              <w:left w:type="dxa" w:w="110"/>
              <w:bottom w:type="dxa" w:w="90"/>
              <w:right w:type="dxa" w:w="110"/>
            </w:tcMar>
          </w:tcPr>
          <w:p>
            <w:pPr>
              <w:jc w:val="center"/>
            </w:pPr>
            <w:r>
              <w:rPr>
                <w:rFonts w:ascii="Calibri" w:cs="Calibri" w:eastAsia="Calibri" w:hAnsi="Calibri"/>
                <w:b w:val="false"/>
                <w:bCs w:val="false"/>
                <w:sz w:val="19"/>
                <w:szCs w:val="19"/>
              </w:rPr>
              <w:t xml:space="preserve">0</w:t>
            </w:r>
          </w:p>
        </w:tc>
        <w:tc>
          <w:tcPr>
            <w:tcW w:type="dxa" w:w="1900"/>
            <w:shd w:fill="EDEFF4" w:val="clear"/>
            <w:tcMar>
              <w:top w:type="dxa" w:w="90"/>
              <w:left w:type="dxa" w:w="110"/>
              <w:bottom w:type="dxa" w:w="90"/>
              <w:right w:type="dxa" w:w="110"/>
            </w:tcMar>
          </w:tcPr>
          <w:p>
            <w:pPr>
              <w:jc w:val="left"/>
            </w:pPr>
            <w:r>
              <w:rPr>
                <w:rFonts w:ascii="Calibri" w:cs="Calibri" w:eastAsia="Calibri" w:hAnsi="Calibri"/>
                <w:b/>
                <w:bCs/>
                <w:sz w:val="19"/>
                <w:szCs w:val="19"/>
              </w:rPr>
              <w:t xml:space="preserve">Coordinator</w:t>
            </w:r>
          </w:p>
        </w:tc>
        <w:tc>
          <w:tcPr>
            <w:tcW w:type="dxa" w:w="3900"/>
            <w:shd w:fill="EDEFF4" w:val="clear"/>
            <w:tcMar>
              <w:top w:type="dxa" w:w="90"/>
              <w:left w:type="dxa" w:w="110"/>
              <w:bottom w:type="dxa" w:w="90"/>
              <w:right w:type="dxa" w:w="110"/>
            </w:tcMar>
          </w:tcPr>
          <w:p>
            <w:pPr>
              <w:jc w:val="left"/>
            </w:pPr>
            <w:r>
              <w:rPr>
                <w:rFonts w:ascii="Calibri" w:cs="Calibri" w:eastAsia="Calibri" w:hAnsi="Calibri"/>
                <w:b w:val="false"/>
                <w:bCs w:val="false"/>
                <w:sz w:val="19"/>
                <w:szCs w:val="19"/>
              </w:rPr>
              <w:t xml:space="preserve">Receives the research request, creates the run plan, initializes agents with scoped instructions, monitors state.</w:t>
            </w:r>
          </w:p>
        </w:tc>
        <w:tc>
          <w:tcPr>
            <w:tcW w:type="dxa" w:w="2850"/>
            <w:shd w:fill="EDEFF4" w:val="clear"/>
            <w:tcMar>
              <w:top w:type="dxa" w:w="90"/>
              <w:left w:type="dxa" w:w="110"/>
              <w:bottom w:type="dxa" w:w="90"/>
              <w:right w:type="dxa" w:w="110"/>
            </w:tcMar>
          </w:tcPr>
          <w:p>
            <w:pPr>
              <w:jc w:val="left"/>
            </w:pPr>
            <w:r>
              <w:rPr>
                <w:rFonts w:ascii="Calibri" w:cs="Calibri" w:eastAsia="Calibri" w:hAnsi="Calibri"/>
                <w:b w:val="false"/>
                <w:bCs w:val="false"/>
                <w:sz w:val="19"/>
                <w:szCs w:val="19"/>
              </w:rPr>
              <w:t xml:space="preserve">Never bypass faculty approval; enforce source citation and audit logging.</w:t>
            </w:r>
          </w:p>
        </w:tc>
      </w:tr>
      <w:tr>
        <w:tc>
          <w:tcPr>
            <w:tcW w:type="dxa" w:w="700"/>
            <w:shd w:fill="FFFFFF" w:val="clear"/>
            <w:tcMar>
              <w:top w:type="dxa" w:w="90"/>
              <w:left w:type="dxa" w:w="110"/>
              <w:bottom w:type="dxa" w:w="90"/>
              <w:right w:type="dxa" w:w="110"/>
            </w:tcMar>
          </w:tcPr>
          <w:p>
            <w:pPr>
              <w:jc w:val="center"/>
            </w:pPr>
            <w:r>
              <w:rPr>
                <w:rFonts w:ascii="Calibri" w:cs="Calibri" w:eastAsia="Calibri" w:hAnsi="Calibri"/>
                <w:b w:val="false"/>
                <w:bCs w:val="false"/>
                <w:sz w:val="19"/>
                <w:szCs w:val="19"/>
              </w:rPr>
              <w:t xml:space="preserve">1</w:t>
            </w:r>
          </w:p>
        </w:tc>
        <w:tc>
          <w:tcPr>
            <w:tcW w:type="dxa" w:w="1900"/>
            <w:shd w:fill="FFFFFF" w:val="clear"/>
            <w:tcMar>
              <w:top w:type="dxa" w:w="90"/>
              <w:left w:type="dxa" w:w="110"/>
              <w:bottom w:type="dxa" w:w="90"/>
              <w:right w:type="dxa" w:w="110"/>
            </w:tcMar>
          </w:tcPr>
          <w:p>
            <w:pPr>
              <w:jc w:val="left"/>
            </w:pPr>
            <w:r>
              <w:rPr>
                <w:rFonts w:ascii="Calibri" w:cs="Calibri" w:eastAsia="Calibri" w:hAnsi="Calibri"/>
                <w:b/>
                <w:bCs/>
                <w:sz w:val="19"/>
                <w:szCs w:val="19"/>
              </w:rPr>
              <w:t xml:space="preserve">Literature Discovery Agent</w:t>
            </w:r>
          </w:p>
        </w:tc>
        <w:tc>
          <w:tcPr>
            <w:tcW w:type="dxa" w:w="3900"/>
            <w:shd w:fill="FFFFFF" w:val="clear"/>
            <w:tcMar>
              <w:top w:type="dxa" w:w="90"/>
              <w:left w:type="dxa" w:w="110"/>
              <w:bottom w:type="dxa" w:w="90"/>
              <w:right w:type="dxa" w:w="110"/>
            </w:tcMar>
          </w:tcPr>
          <w:p>
            <w:pPr>
              <w:jc w:val="left"/>
            </w:pPr>
            <w:r>
              <w:rPr>
                <w:rFonts w:ascii="Calibri" w:cs="Calibri" w:eastAsia="Calibri" w:hAnsi="Calibri"/>
                <w:b w:val="false"/>
                <w:bCs w:val="false"/>
                <w:sz w:val="19"/>
                <w:szCs w:val="19"/>
              </w:rPr>
              <w:t xml:space="preserve">Searches scholarly metadata sources and returns a ranked, summarized reading list.</w:t>
            </w:r>
          </w:p>
        </w:tc>
        <w:tc>
          <w:tcPr>
            <w:tcW w:type="dxa" w:w="2850"/>
            <w:shd w:fill="FFFFFF" w:val="clear"/>
            <w:tcMar>
              <w:top w:type="dxa" w:w="90"/>
              <w:left w:type="dxa" w:w="110"/>
              <w:bottom w:type="dxa" w:w="90"/>
              <w:right w:type="dxa" w:w="110"/>
            </w:tcMar>
          </w:tcPr>
          <w:p>
            <w:pPr>
              <w:jc w:val="left"/>
            </w:pPr>
            <w:r>
              <w:rPr>
                <w:rFonts w:ascii="Calibri" w:cs="Calibri" w:eastAsia="Calibri" w:hAnsi="Calibri"/>
                <w:b w:val="false"/>
                <w:bCs w:val="false"/>
                <w:sz w:val="19"/>
                <w:szCs w:val="19"/>
              </w:rPr>
              <w:t xml:space="preserve">Use only verifiable scholarly sources; never fabricate a citation or abstract.</w:t>
            </w:r>
          </w:p>
        </w:tc>
      </w:tr>
      <w:tr>
        <w:tc>
          <w:tcPr>
            <w:tcW w:type="dxa" w:w="700"/>
            <w:shd w:fill="EDEFF4" w:val="clear"/>
            <w:tcMar>
              <w:top w:type="dxa" w:w="90"/>
              <w:left w:type="dxa" w:w="110"/>
              <w:bottom w:type="dxa" w:w="90"/>
              <w:right w:type="dxa" w:w="110"/>
            </w:tcMar>
          </w:tcPr>
          <w:p>
            <w:pPr>
              <w:jc w:val="center"/>
            </w:pPr>
            <w:r>
              <w:rPr>
                <w:rFonts w:ascii="Calibri" w:cs="Calibri" w:eastAsia="Calibri" w:hAnsi="Calibri"/>
                <w:b w:val="false"/>
                <w:bCs w:val="false"/>
                <w:sz w:val="19"/>
                <w:szCs w:val="19"/>
              </w:rPr>
              <w:t xml:space="preserve">2</w:t>
            </w:r>
          </w:p>
        </w:tc>
        <w:tc>
          <w:tcPr>
            <w:tcW w:type="dxa" w:w="1900"/>
            <w:shd w:fill="EDEFF4" w:val="clear"/>
            <w:tcMar>
              <w:top w:type="dxa" w:w="90"/>
              <w:left w:type="dxa" w:w="110"/>
              <w:bottom w:type="dxa" w:w="90"/>
              <w:right w:type="dxa" w:w="110"/>
            </w:tcMar>
          </w:tcPr>
          <w:p>
            <w:pPr>
              <w:jc w:val="left"/>
            </w:pPr>
            <w:r>
              <w:rPr>
                <w:rFonts w:ascii="Calibri" w:cs="Calibri" w:eastAsia="Calibri" w:hAnsi="Calibri"/>
                <w:b/>
                <w:bCs/>
                <w:sz w:val="19"/>
                <w:szCs w:val="19"/>
              </w:rPr>
              <w:t xml:space="preserve">Gap &amp; Idea Analysis Agent</w:t>
            </w:r>
          </w:p>
        </w:tc>
        <w:tc>
          <w:tcPr>
            <w:tcW w:type="dxa" w:w="3900"/>
            <w:shd w:fill="EDEFF4" w:val="clear"/>
            <w:tcMar>
              <w:top w:type="dxa" w:w="90"/>
              <w:left w:type="dxa" w:w="110"/>
              <w:bottom w:type="dxa" w:w="90"/>
              <w:right w:type="dxa" w:w="110"/>
            </w:tcMar>
          </w:tcPr>
          <w:p>
            <w:pPr>
              <w:jc w:val="left"/>
            </w:pPr>
            <w:r>
              <w:rPr>
                <w:rFonts w:ascii="Calibri" w:cs="Calibri" w:eastAsia="Calibri" w:hAnsi="Calibri"/>
                <w:b w:val="false"/>
                <w:bCs w:val="false"/>
                <w:sz w:val="19"/>
                <w:szCs w:val="19"/>
              </w:rPr>
              <w:t xml:space="preserve">Compares the research question against discovered literature and flags novelty versus overlap.</w:t>
            </w:r>
          </w:p>
        </w:tc>
        <w:tc>
          <w:tcPr>
            <w:tcW w:type="dxa" w:w="2850"/>
            <w:shd w:fill="EDEFF4" w:val="clear"/>
            <w:tcMar>
              <w:top w:type="dxa" w:w="90"/>
              <w:left w:type="dxa" w:w="110"/>
              <w:bottom w:type="dxa" w:w="90"/>
              <w:right w:type="dxa" w:w="110"/>
            </w:tcMar>
          </w:tcPr>
          <w:p>
            <w:pPr>
              <w:jc w:val="left"/>
            </w:pPr>
            <w:r>
              <w:rPr>
                <w:rFonts w:ascii="Calibri" w:cs="Calibri" w:eastAsia="Calibri" w:hAnsi="Calibri"/>
                <w:b w:val="false"/>
                <w:bCs w:val="false"/>
                <w:sz w:val="19"/>
                <w:szCs w:val="19"/>
              </w:rPr>
              <w:t xml:space="preserve">State uncertainty explicitly rather than asserting novelty it cannot verify.</w:t>
            </w:r>
          </w:p>
        </w:tc>
      </w:tr>
      <w:tr>
        <w:tc>
          <w:tcPr>
            <w:tcW w:type="dxa" w:w="700"/>
            <w:shd w:fill="FFFFFF" w:val="clear"/>
            <w:tcMar>
              <w:top w:type="dxa" w:w="90"/>
              <w:left w:type="dxa" w:w="110"/>
              <w:bottom w:type="dxa" w:w="90"/>
              <w:right w:type="dxa" w:w="110"/>
            </w:tcMar>
          </w:tcPr>
          <w:p>
            <w:pPr>
              <w:jc w:val="center"/>
            </w:pPr>
            <w:r>
              <w:rPr>
                <w:rFonts w:ascii="Calibri" w:cs="Calibri" w:eastAsia="Calibri" w:hAnsi="Calibri"/>
                <w:b w:val="false"/>
                <w:bCs w:val="false"/>
                <w:sz w:val="19"/>
                <w:szCs w:val="19"/>
              </w:rPr>
              <w:t xml:space="preserve">3</w:t>
            </w:r>
          </w:p>
        </w:tc>
        <w:tc>
          <w:tcPr>
            <w:tcW w:type="dxa" w:w="1900"/>
            <w:shd w:fill="FFFFFF" w:val="clear"/>
            <w:tcMar>
              <w:top w:type="dxa" w:w="90"/>
              <w:left w:type="dxa" w:w="110"/>
              <w:bottom w:type="dxa" w:w="90"/>
              <w:right w:type="dxa" w:w="110"/>
            </w:tcMar>
          </w:tcPr>
          <w:p>
            <w:pPr>
              <w:jc w:val="left"/>
            </w:pPr>
            <w:r>
              <w:rPr>
                <w:rFonts w:ascii="Calibri" w:cs="Calibri" w:eastAsia="Calibri" w:hAnsi="Calibri"/>
                <w:b/>
                <w:bCs/>
                <w:sz w:val="19"/>
                <w:szCs w:val="19"/>
              </w:rPr>
              <w:t xml:space="preserve">Drafting &amp; Writing Agent</w:t>
            </w:r>
          </w:p>
        </w:tc>
        <w:tc>
          <w:tcPr>
            <w:tcW w:type="dxa" w:w="3900"/>
            <w:shd w:fill="FFFFFF" w:val="clear"/>
            <w:tcMar>
              <w:top w:type="dxa" w:w="90"/>
              <w:left w:type="dxa" w:w="110"/>
              <w:bottom w:type="dxa" w:w="90"/>
              <w:right w:type="dxa" w:w="110"/>
            </w:tcMar>
          </w:tcPr>
          <w:p>
            <w:pPr>
              <w:jc w:val="left"/>
            </w:pPr>
            <w:r>
              <w:rPr>
                <w:rFonts w:ascii="Calibri" w:cs="Calibri" w:eastAsia="Calibri" w:hAnsi="Calibri"/>
                <w:b w:val="false"/>
                <w:bCs w:val="false"/>
                <w:sz w:val="19"/>
                <w:szCs w:val="19"/>
              </w:rPr>
              <w:t xml:space="preserve">Produces an outline, then a full draft in the target venue's structure.</w:t>
            </w:r>
          </w:p>
        </w:tc>
        <w:tc>
          <w:tcPr>
            <w:tcW w:type="dxa" w:w="2850"/>
            <w:shd w:fill="FFFFFF" w:val="clear"/>
            <w:tcMar>
              <w:top w:type="dxa" w:w="90"/>
              <w:left w:type="dxa" w:w="110"/>
              <w:bottom w:type="dxa" w:w="90"/>
              <w:right w:type="dxa" w:w="110"/>
            </w:tcMar>
          </w:tcPr>
          <w:p>
            <w:pPr>
              <w:jc w:val="left"/>
            </w:pPr>
            <w:r>
              <w:rPr>
                <w:rFonts w:ascii="Calibri" w:cs="Calibri" w:eastAsia="Calibri" w:hAnsi="Calibri"/>
                <w:b w:val="false"/>
                <w:bCs w:val="false"/>
                <w:sz w:val="19"/>
                <w:szCs w:val="19"/>
              </w:rPr>
              <w:t xml:space="preserve">Draft only; mark AI-authored text clearly; no submission without faculty approval.</w:t>
            </w:r>
          </w:p>
        </w:tc>
      </w:tr>
      <w:tr>
        <w:tc>
          <w:tcPr>
            <w:tcW w:type="dxa" w:w="700"/>
            <w:shd w:fill="EDEFF4" w:val="clear"/>
            <w:tcMar>
              <w:top w:type="dxa" w:w="90"/>
              <w:left w:type="dxa" w:w="110"/>
              <w:bottom w:type="dxa" w:w="90"/>
              <w:right w:type="dxa" w:w="110"/>
            </w:tcMar>
          </w:tcPr>
          <w:p>
            <w:pPr>
              <w:jc w:val="center"/>
            </w:pPr>
            <w:r>
              <w:rPr>
                <w:rFonts w:ascii="Calibri" w:cs="Calibri" w:eastAsia="Calibri" w:hAnsi="Calibri"/>
                <w:b w:val="false"/>
                <w:bCs w:val="false"/>
                <w:sz w:val="19"/>
                <w:szCs w:val="19"/>
              </w:rPr>
              <w:t xml:space="preserve">4</w:t>
            </w:r>
          </w:p>
        </w:tc>
        <w:tc>
          <w:tcPr>
            <w:tcW w:type="dxa" w:w="1900"/>
            <w:shd w:fill="EDEFF4" w:val="clear"/>
            <w:tcMar>
              <w:top w:type="dxa" w:w="90"/>
              <w:left w:type="dxa" w:w="110"/>
              <w:bottom w:type="dxa" w:w="90"/>
              <w:right w:type="dxa" w:w="110"/>
            </w:tcMar>
          </w:tcPr>
          <w:p>
            <w:pPr>
              <w:jc w:val="left"/>
            </w:pPr>
            <w:r>
              <w:rPr>
                <w:rFonts w:ascii="Calibri" w:cs="Calibri" w:eastAsia="Calibri" w:hAnsi="Calibri"/>
                <w:b/>
                <w:bCs/>
                <w:sz w:val="19"/>
                <w:szCs w:val="19"/>
              </w:rPr>
              <w:t xml:space="preserve">Citation &amp; Compliance Agent</w:t>
            </w:r>
          </w:p>
        </w:tc>
        <w:tc>
          <w:tcPr>
            <w:tcW w:type="dxa" w:w="3900"/>
            <w:shd w:fill="EDEFF4" w:val="clear"/>
            <w:tcMar>
              <w:top w:type="dxa" w:w="90"/>
              <w:left w:type="dxa" w:w="110"/>
              <w:bottom w:type="dxa" w:w="90"/>
              <w:right w:type="dxa" w:w="110"/>
            </w:tcMar>
          </w:tcPr>
          <w:p>
            <w:pPr>
              <w:jc w:val="left"/>
            </w:pPr>
            <w:r>
              <w:rPr>
                <w:rFonts w:ascii="Calibri" w:cs="Calibri" w:eastAsia="Calibri" w:hAnsi="Calibri"/>
                <w:b w:val="false"/>
                <w:bCs w:val="false"/>
                <w:sz w:val="19"/>
                <w:szCs w:val="19"/>
              </w:rPr>
              <w:t xml:space="preserve">Checks formatting, reference completeness, and venue-specific requirements.</w:t>
            </w:r>
          </w:p>
        </w:tc>
        <w:tc>
          <w:tcPr>
            <w:tcW w:type="dxa" w:w="2850"/>
            <w:shd w:fill="EDEFF4" w:val="clear"/>
            <w:tcMar>
              <w:top w:type="dxa" w:w="90"/>
              <w:left w:type="dxa" w:w="110"/>
              <w:bottom w:type="dxa" w:w="90"/>
              <w:right w:type="dxa" w:w="110"/>
            </w:tcMar>
          </w:tcPr>
          <w:p>
            <w:pPr>
              <w:jc w:val="left"/>
            </w:pPr>
            <w:r>
              <w:rPr>
                <w:rFonts w:ascii="Calibri" w:cs="Calibri" w:eastAsia="Calibri" w:hAnsi="Calibri"/>
                <w:b w:val="false"/>
                <w:bCs w:val="false"/>
                <w:sz w:val="19"/>
                <w:szCs w:val="19"/>
              </w:rPr>
              <w:t xml:space="preserve">Flag missing or inconsistent citations rather than inventing a reference.</w:t>
            </w:r>
          </w:p>
        </w:tc>
      </w:tr>
      <w:tr>
        <w:tc>
          <w:tcPr>
            <w:tcW w:type="dxa" w:w="700"/>
            <w:shd w:fill="FFFFFF" w:val="clear"/>
            <w:tcMar>
              <w:top w:type="dxa" w:w="90"/>
              <w:left w:type="dxa" w:w="110"/>
              <w:bottom w:type="dxa" w:w="90"/>
              <w:right w:type="dxa" w:w="110"/>
            </w:tcMar>
          </w:tcPr>
          <w:p>
            <w:pPr>
              <w:jc w:val="center"/>
            </w:pPr>
            <w:r>
              <w:rPr>
                <w:rFonts w:ascii="Calibri" w:cs="Calibri" w:eastAsia="Calibri" w:hAnsi="Calibri"/>
                <w:b w:val="false"/>
                <w:bCs w:val="false"/>
                <w:sz w:val="19"/>
                <w:szCs w:val="19"/>
              </w:rPr>
              <w:t xml:space="preserve">5</w:t>
            </w:r>
          </w:p>
        </w:tc>
        <w:tc>
          <w:tcPr>
            <w:tcW w:type="dxa" w:w="1900"/>
            <w:shd w:fill="FFFFFF" w:val="clear"/>
            <w:tcMar>
              <w:top w:type="dxa" w:w="90"/>
              <w:left w:type="dxa" w:w="110"/>
              <w:bottom w:type="dxa" w:w="90"/>
              <w:right w:type="dxa" w:w="110"/>
            </w:tcMar>
          </w:tcPr>
          <w:p>
            <w:pPr>
              <w:jc w:val="left"/>
            </w:pPr>
            <w:r>
              <w:rPr>
                <w:rFonts w:ascii="Calibri" w:cs="Calibri" w:eastAsia="Calibri" w:hAnsi="Calibri"/>
                <w:b/>
                <w:bCs/>
                <w:sz w:val="19"/>
                <w:szCs w:val="19"/>
              </w:rPr>
              <w:t xml:space="preserve">Funding / Journal Radar Agent</w:t>
            </w:r>
          </w:p>
        </w:tc>
        <w:tc>
          <w:tcPr>
            <w:tcW w:type="dxa" w:w="3900"/>
            <w:shd w:fill="FFFFFF" w:val="clear"/>
            <w:tcMar>
              <w:top w:type="dxa" w:w="90"/>
              <w:left w:type="dxa" w:w="110"/>
              <w:bottom w:type="dxa" w:w="90"/>
              <w:right w:type="dxa" w:w="110"/>
            </w:tcMar>
          </w:tcPr>
          <w:p>
            <w:pPr>
              <w:jc w:val="left"/>
            </w:pPr>
            <w:r>
              <w:rPr>
                <w:rFonts w:ascii="Calibri" w:cs="Calibri" w:eastAsia="Calibri" w:hAnsi="Calibri"/>
                <w:b w:val="false"/>
                <w:bCs w:val="false"/>
                <w:sz w:val="19"/>
                <w:szCs w:val="19"/>
              </w:rPr>
              <w:t xml:space="preserve">Continuously surfaces relevant journals, calls for papers, and funding deadlines.</w:t>
            </w:r>
          </w:p>
        </w:tc>
        <w:tc>
          <w:tcPr>
            <w:tcW w:type="dxa" w:w="2850"/>
            <w:shd w:fill="FFFFFF" w:val="clear"/>
            <w:tcMar>
              <w:top w:type="dxa" w:w="90"/>
              <w:left w:type="dxa" w:w="110"/>
              <w:bottom w:type="dxa" w:w="90"/>
              <w:right w:type="dxa" w:w="110"/>
            </w:tcMar>
          </w:tcPr>
          <w:p>
            <w:pPr>
              <w:jc w:val="left"/>
            </w:pPr>
            <w:r>
              <w:rPr>
                <w:rFonts w:ascii="Calibri" w:cs="Calibri" w:eastAsia="Calibri" w:hAnsi="Calibri"/>
                <w:b w:val="false"/>
                <w:bCs w:val="false"/>
                <w:sz w:val="19"/>
                <w:szCs w:val="19"/>
              </w:rPr>
              <w:t xml:space="preserve">Only report from verifiable sources; timestamp every alert.</w:t>
            </w:r>
          </w:p>
        </w:tc>
      </w:tr>
      <w:tr>
        <w:tc>
          <w:tcPr>
            <w:tcW w:type="dxa" w:w="700"/>
            <w:shd w:fill="EDEFF4" w:val="clear"/>
            <w:tcMar>
              <w:top w:type="dxa" w:w="90"/>
              <w:left w:type="dxa" w:w="110"/>
              <w:bottom w:type="dxa" w:w="90"/>
              <w:right w:type="dxa" w:w="110"/>
            </w:tcMar>
          </w:tcPr>
          <w:p>
            <w:pPr>
              <w:jc w:val="center"/>
            </w:pPr>
            <w:r>
              <w:rPr>
                <w:rFonts w:ascii="Calibri" w:cs="Calibri" w:eastAsia="Calibri" w:hAnsi="Calibri"/>
                <w:b w:val="false"/>
                <w:bCs w:val="false"/>
                <w:sz w:val="19"/>
                <w:szCs w:val="19"/>
              </w:rPr>
              <w:t xml:space="preserve">6</w:t>
            </w:r>
          </w:p>
        </w:tc>
        <w:tc>
          <w:tcPr>
            <w:tcW w:type="dxa" w:w="1900"/>
            <w:shd w:fill="EDEFF4" w:val="clear"/>
            <w:tcMar>
              <w:top w:type="dxa" w:w="90"/>
              <w:left w:type="dxa" w:w="110"/>
              <w:bottom w:type="dxa" w:w="90"/>
              <w:right w:type="dxa" w:w="110"/>
            </w:tcMar>
          </w:tcPr>
          <w:p>
            <w:pPr>
              <w:jc w:val="left"/>
            </w:pPr>
            <w:r>
              <w:rPr>
                <w:rFonts w:ascii="Calibri" w:cs="Calibri" w:eastAsia="Calibri" w:hAnsi="Calibri"/>
                <w:b/>
                <w:bCs/>
                <w:sz w:val="19"/>
                <w:szCs w:val="19"/>
              </w:rPr>
              <w:t xml:space="preserve">Collaboration Agent</w:t>
            </w:r>
          </w:p>
        </w:tc>
        <w:tc>
          <w:tcPr>
            <w:tcW w:type="dxa" w:w="3900"/>
            <w:shd w:fill="EDEFF4" w:val="clear"/>
            <w:tcMar>
              <w:top w:type="dxa" w:w="90"/>
              <w:left w:type="dxa" w:w="110"/>
              <w:bottom w:type="dxa" w:w="90"/>
              <w:right w:type="dxa" w:w="110"/>
            </w:tcMar>
          </w:tcPr>
          <w:p>
            <w:pPr>
              <w:jc w:val="left"/>
            </w:pPr>
            <w:r>
              <w:rPr>
                <w:rFonts w:ascii="Calibri" w:cs="Calibri" w:eastAsia="Calibri" w:hAnsi="Calibri"/>
                <w:b w:val="false"/>
                <w:bCs w:val="false"/>
                <w:sz w:val="19"/>
                <w:szCs w:val="19"/>
              </w:rPr>
              <w:t xml:space="preserve">Tracks co-author section ownership and consolidates edits into one version.</w:t>
            </w:r>
          </w:p>
        </w:tc>
        <w:tc>
          <w:tcPr>
            <w:tcW w:type="dxa" w:w="2850"/>
            <w:shd w:fill="EDEFF4" w:val="clear"/>
            <w:tcMar>
              <w:top w:type="dxa" w:w="90"/>
              <w:left w:type="dxa" w:w="110"/>
              <w:bottom w:type="dxa" w:w="90"/>
              <w:right w:type="dxa" w:w="110"/>
            </w:tcMar>
          </w:tcPr>
          <w:p>
            <w:pPr>
              <w:jc w:val="left"/>
            </w:pPr>
            <w:r>
              <w:rPr>
                <w:rFonts w:ascii="Calibri" w:cs="Calibri" w:eastAsia="Calibri" w:hAnsi="Calibri"/>
                <w:b w:val="false"/>
                <w:bCs w:val="false"/>
                <w:sz w:val="19"/>
                <w:szCs w:val="19"/>
              </w:rPr>
              <w:t xml:space="preserve">Preserve individual author attribution; never silently overwrite a co-author's edit.</w:t>
            </w:r>
          </w:p>
        </w:tc>
      </w:tr>
      <w:tr>
        <w:tc>
          <w:tcPr>
            <w:tcW w:type="dxa" w:w="700"/>
            <w:shd w:fill="FFFFFF" w:val="clear"/>
            <w:tcMar>
              <w:top w:type="dxa" w:w="90"/>
              <w:left w:type="dxa" w:w="110"/>
              <w:bottom w:type="dxa" w:w="90"/>
              <w:right w:type="dxa" w:w="110"/>
            </w:tcMar>
          </w:tcPr>
          <w:p>
            <w:pPr>
              <w:jc w:val="center"/>
            </w:pPr>
            <w:r>
              <w:rPr>
                <w:rFonts w:ascii="Calibri" w:cs="Calibri" w:eastAsia="Calibri" w:hAnsi="Calibri"/>
                <w:b w:val="false"/>
                <w:bCs w:val="false"/>
                <w:sz w:val="19"/>
                <w:szCs w:val="19"/>
              </w:rPr>
              <w:t xml:space="preserve">7</w:t>
            </w:r>
          </w:p>
        </w:tc>
        <w:tc>
          <w:tcPr>
            <w:tcW w:type="dxa" w:w="1900"/>
            <w:shd w:fill="FFFFFF" w:val="clear"/>
            <w:tcMar>
              <w:top w:type="dxa" w:w="90"/>
              <w:left w:type="dxa" w:w="110"/>
              <w:bottom w:type="dxa" w:w="90"/>
              <w:right w:type="dxa" w:w="110"/>
            </w:tcMar>
          </w:tcPr>
          <w:p>
            <w:pPr>
              <w:jc w:val="left"/>
            </w:pPr>
            <w:r>
              <w:rPr>
                <w:rFonts w:ascii="Calibri" w:cs="Calibri" w:eastAsia="Calibri" w:hAnsi="Calibri"/>
                <w:b/>
                <w:bCs/>
                <w:sz w:val="19"/>
                <w:szCs w:val="19"/>
              </w:rPr>
              <w:t xml:space="preserve">Faculty Review</w:t>
            </w:r>
          </w:p>
        </w:tc>
        <w:tc>
          <w:tcPr>
            <w:tcW w:type="dxa" w:w="3900"/>
            <w:shd w:fill="FFFFFF" w:val="clear"/>
            <w:tcMar>
              <w:top w:type="dxa" w:w="90"/>
              <w:left w:type="dxa" w:w="110"/>
              <w:bottom w:type="dxa" w:w="90"/>
              <w:right w:type="dxa" w:w="110"/>
            </w:tcMar>
          </w:tcPr>
          <w:p>
            <w:pPr>
              <w:jc w:val="left"/>
            </w:pPr>
            <w:r>
              <w:rPr>
                <w:rFonts w:ascii="Calibri" w:cs="Calibri" w:eastAsia="Calibri" w:hAnsi="Calibri"/>
                <w:b w:val="false"/>
                <w:bCs w:val="false"/>
                <w:sz w:val="19"/>
                <w:szCs w:val="19"/>
              </w:rPr>
              <w:t xml:space="preserve">Reviews exceptions, approves drafts, requests corrections or scope changes.</w:t>
            </w:r>
          </w:p>
        </w:tc>
        <w:tc>
          <w:tcPr>
            <w:tcW w:type="dxa" w:w="2850"/>
            <w:shd w:fill="FFFFFF" w:val="clear"/>
            <w:tcMar>
              <w:top w:type="dxa" w:w="90"/>
              <w:left w:type="dxa" w:w="110"/>
              <w:bottom w:type="dxa" w:w="90"/>
              <w:right w:type="dxa" w:w="110"/>
            </w:tcMar>
          </w:tcPr>
          <w:p>
            <w:pPr>
              <w:jc w:val="left"/>
            </w:pPr>
            <w:r>
              <w:rPr>
                <w:rFonts w:ascii="Calibri" w:cs="Calibri" w:eastAsia="Calibri" w:hAnsi="Calibri"/>
                <w:b w:val="false"/>
                <w:bCs w:val="false"/>
                <w:sz w:val="19"/>
                <w:szCs w:val="19"/>
              </w:rPr>
              <w:t xml:space="preserve">Faculty decision is final authority for all submissions.</w:t>
            </w:r>
          </w:p>
        </w:tc>
      </w:tr>
      <w:tr>
        <w:tc>
          <w:tcPr>
            <w:tcW w:type="dxa" w:w="700"/>
            <w:shd w:fill="EDEFF4" w:val="clear"/>
            <w:tcMar>
              <w:top w:type="dxa" w:w="90"/>
              <w:left w:type="dxa" w:w="110"/>
              <w:bottom w:type="dxa" w:w="90"/>
              <w:right w:type="dxa" w:w="110"/>
            </w:tcMar>
          </w:tcPr>
          <w:p>
            <w:pPr>
              <w:jc w:val="center"/>
            </w:pPr>
            <w:r>
              <w:rPr>
                <w:rFonts w:ascii="Calibri" w:cs="Calibri" w:eastAsia="Calibri" w:hAnsi="Calibri"/>
                <w:b w:val="false"/>
                <w:bCs w:val="false"/>
                <w:sz w:val="19"/>
                <w:szCs w:val="19"/>
              </w:rPr>
              <w:t xml:space="preserve">8</w:t>
            </w:r>
          </w:p>
        </w:tc>
        <w:tc>
          <w:tcPr>
            <w:tcW w:type="dxa" w:w="1900"/>
            <w:shd w:fill="EDEFF4" w:val="clear"/>
            <w:tcMar>
              <w:top w:type="dxa" w:w="90"/>
              <w:left w:type="dxa" w:w="110"/>
              <w:bottom w:type="dxa" w:w="90"/>
              <w:right w:type="dxa" w:w="110"/>
            </w:tcMar>
          </w:tcPr>
          <w:p>
            <w:pPr>
              <w:jc w:val="left"/>
            </w:pPr>
            <w:r>
              <w:rPr>
                <w:rFonts w:ascii="Calibri" w:cs="Calibri" w:eastAsia="Calibri" w:hAnsi="Calibri"/>
                <w:b/>
                <w:bCs/>
                <w:sz w:val="19"/>
                <w:szCs w:val="19"/>
              </w:rPr>
              <w:t xml:space="preserve">Export &amp; Repository Agent</w:t>
            </w:r>
          </w:p>
        </w:tc>
        <w:tc>
          <w:tcPr>
            <w:tcW w:type="dxa" w:w="3900"/>
            <w:shd w:fill="EDEFF4" w:val="clear"/>
            <w:tcMar>
              <w:top w:type="dxa" w:w="90"/>
              <w:left w:type="dxa" w:w="110"/>
              <w:bottom w:type="dxa" w:w="90"/>
              <w:right w:type="dxa" w:w="110"/>
            </w:tcMar>
          </w:tcPr>
          <w:p>
            <w:pPr>
              <w:jc w:val="left"/>
            </w:pPr>
            <w:r>
              <w:rPr>
                <w:rFonts w:ascii="Calibri" w:cs="Calibri" w:eastAsia="Calibri" w:hAnsi="Calibri"/>
                <w:b w:val="false"/>
                <w:bCs w:val="false"/>
                <w:sz w:val="19"/>
                <w:szCs w:val="19"/>
              </w:rPr>
              <w:t xml:space="preserve">Produces the final formatted document and logs it in the research tracker.</w:t>
            </w:r>
          </w:p>
        </w:tc>
        <w:tc>
          <w:tcPr>
            <w:tcW w:type="dxa" w:w="2850"/>
            <w:shd w:fill="EDEFF4" w:val="clear"/>
            <w:tcMar>
              <w:top w:type="dxa" w:w="90"/>
              <w:left w:type="dxa" w:w="110"/>
              <w:bottom w:type="dxa" w:w="90"/>
              <w:right w:type="dxa" w:w="110"/>
            </w:tcMar>
          </w:tcPr>
          <w:p>
            <w:pPr>
              <w:jc w:val="left"/>
            </w:pPr>
            <w:r>
              <w:rPr>
                <w:rFonts w:ascii="Calibri" w:cs="Calibri" w:eastAsia="Calibri" w:hAnsi="Calibri"/>
                <w:b w:val="false"/>
                <w:bCs w:val="false"/>
                <w:sz w:val="19"/>
                <w:szCs w:val="19"/>
              </w:rPr>
              <w:t xml:space="preserve">Keep version history and source links; label draft versus approved status.</w:t>
            </w:r>
          </w:p>
        </w:tc>
      </w:tr>
    </w:tbl>
    <w:p>
      <w:pPr>
        <w:pStyle w:val="Heading1"/>
        <w:spacing w:after="160" w:before="360"/>
      </w:pPr>
      <w:r>
        <w:t xml:space="preserve">Hybrid Execution Methodology</w:t>
      </w:r>
    </w:p>
    <w:p>
      <w:pPr>
        <w:spacing w:after="140"/>
      </w:pPr>
      <w:r>
        <w:rPr>
          <w:rFonts w:ascii="Calibri" w:cs="Calibri" w:eastAsia="Calibri" w:hAnsi="Calibri"/>
          <w:sz w:val="22"/>
          <w:szCs w:val="22"/>
        </w:rPr>
        <w:t xml:space="preserve">Independent agents run in parallel to save time, while drafting, compliance checks, and faculty approval remain sequential gates.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B2A4A" w:val="clear"/>
            <w:tcMar>
              <w:top w:type="dxa" w:w="90"/>
              <w:left w:type="dxa" w:w="110"/>
              <w:bottom w:type="dxa" w:w="90"/>
              <w:right w:type="dxa" w:w="110"/>
            </w:tcMar>
          </w:tcPr>
          <w:p>
            <w:pPr>
              <w:jc w:val="left"/>
            </w:pPr>
            <w:r>
              <w:rPr>
                <w:rFonts w:ascii="Calibri" w:cs="Calibri" w:eastAsia="Calibri" w:hAnsi="Calibri"/>
                <w:b/>
                <w:bCs/>
                <w:color w:val="FFFFFF"/>
                <w:sz w:val="19"/>
                <w:szCs w:val="19"/>
              </w:rPr>
              <w:t xml:space="preserve">Stage</w:t>
            </w:r>
          </w:p>
        </w:tc>
        <w:tc>
          <w:tcPr>
            <w:tcW w:type="dxa" w:w="6750"/>
            <w:shd w:fill="1B2A4A" w:val="clear"/>
            <w:tcMar>
              <w:top w:type="dxa" w:w="90"/>
              <w:left w:type="dxa" w:w="110"/>
              <w:bottom w:type="dxa" w:w="90"/>
              <w:right w:type="dxa" w:w="110"/>
            </w:tcMar>
          </w:tcPr>
          <w:p>
            <w:pPr>
              <w:jc w:val="left"/>
            </w:pPr>
            <w:r>
              <w:rPr>
                <w:rFonts w:ascii="Calibri" w:cs="Calibri" w:eastAsia="Calibri" w:hAnsi="Calibri"/>
                <w:b/>
                <w:bCs/>
                <w:color w:val="FFFFFF"/>
                <w:sz w:val="19"/>
                <w:szCs w:val="19"/>
              </w:rPr>
              <w:t xml:space="preserve">Execution mode and coordinator behavior</w:t>
            </w:r>
          </w:p>
        </w:tc>
      </w:tr>
      <w:tr>
        <w:tc>
          <w:tcPr>
            <w:tcW w:type="dxa" w:w="2600"/>
            <w:shd w:fill="EDEFF4" w:val="clear"/>
            <w:tcMar>
              <w:top w:type="dxa" w:w="90"/>
              <w:left w:type="dxa" w:w="110"/>
              <w:bottom w:type="dxa" w:w="90"/>
              <w:right w:type="dxa" w:w="110"/>
            </w:tcMar>
          </w:tcPr>
          <w:p>
            <w:pPr>
              <w:jc w:val="left"/>
            </w:pPr>
            <w:r>
              <w:rPr>
                <w:rFonts w:ascii="Calibri" w:cs="Calibri" w:eastAsia="Calibri" w:hAnsi="Calibri"/>
                <w:b/>
                <w:bCs/>
                <w:sz w:val="19"/>
                <w:szCs w:val="19"/>
              </w:rPr>
              <w:t xml:space="preserve">Gate 1: intent and venue</w:t>
            </w:r>
          </w:p>
        </w:tc>
        <w:tc>
          <w:tcPr>
            <w:tcW w:type="dxa" w:w="6750"/>
            <w:shd w:fill="EDEFF4" w:val="clear"/>
            <w:tcMar>
              <w:top w:type="dxa" w:w="90"/>
              <w:left w:type="dxa" w:w="110"/>
              <w:bottom w:type="dxa" w:w="90"/>
              <w:right w:type="dxa" w:w="110"/>
            </w:tcMar>
          </w:tcPr>
          <w:p>
            <w:pPr>
              <w:jc w:val="left"/>
            </w:pPr>
            <w:r>
              <w:rPr>
                <w:rFonts w:ascii="Calibri" w:cs="Calibri" w:eastAsia="Calibri" w:hAnsi="Calibri"/>
                <w:b w:val="false"/>
                <w:bCs w:val="false"/>
                <w:sz w:val="19"/>
                <w:szCs w:val="19"/>
              </w:rPr>
              <w:t xml:space="preserve">Sequential — drafting starts only after faculty confirms topic, venue, and deadline.</w:t>
            </w:r>
          </w:p>
        </w:tc>
      </w:tr>
      <w:tr>
        <w:tc>
          <w:tcPr>
            <w:tcW w:type="dxa" w:w="2600"/>
            <w:shd w:fill="FFFFFF" w:val="clear"/>
            <w:tcMar>
              <w:top w:type="dxa" w:w="90"/>
              <w:left w:type="dxa" w:w="110"/>
              <w:bottom w:type="dxa" w:w="90"/>
              <w:right w:type="dxa" w:w="110"/>
            </w:tcMar>
          </w:tcPr>
          <w:p>
            <w:pPr>
              <w:jc w:val="left"/>
            </w:pPr>
            <w:r>
              <w:rPr>
                <w:rFonts w:ascii="Calibri" w:cs="Calibri" w:eastAsia="Calibri" w:hAnsi="Calibri"/>
                <w:b/>
                <w:bCs/>
                <w:sz w:val="19"/>
                <w:szCs w:val="19"/>
              </w:rPr>
              <w:t xml:space="preserve">Parallel discovery</w:t>
            </w:r>
          </w:p>
        </w:tc>
        <w:tc>
          <w:tcPr>
            <w:tcW w:type="dxa" w:w="6750"/>
            <w:shd w:fill="FFFFFF" w:val="clear"/>
            <w:tcMar>
              <w:top w:type="dxa" w:w="90"/>
              <w:left w:type="dxa" w:w="110"/>
              <w:bottom w:type="dxa" w:w="90"/>
              <w:right w:type="dxa" w:w="110"/>
            </w:tcMar>
          </w:tcPr>
          <w:p>
            <w:pPr>
              <w:jc w:val="left"/>
            </w:pPr>
            <w:r>
              <w:rPr>
                <w:rFonts w:ascii="Calibri" w:cs="Calibri" w:eastAsia="Calibri" w:hAnsi="Calibri"/>
                <w:b w:val="false"/>
                <w:bCs w:val="false"/>
                <w:sz w:val="19"/>
                <w:szCs w:val="19"/>
              </w:rPr>
              <w:t xml:space="preserve">Parallel — the Literature Discovery Agent and Funding/Journal Radar Agent run independently of each other.</w:t>
            </w:r>
          </w:p>
        </w:tc>
      </w:tr>
      <w:tr>
        <w:tc>
          <w:tcPr>
            <w:tcW w:type="dxa" w:w="2600"/>
            <w:shd w:fill="EDEFF4" w:val="clear"/>
            <w:tcMar>
              <w:top w:type="dxa" w:w="90"/>
              <w:left w:type="dxa" w:w="110"/>
              <w:bottom w:type="dxa" w:w="90"/>
              <w:right w:type="dxa" w:w="110"/>
            </w:tcMar>
          </w:tcPr>
          <w:p>
            <w:pPr>
              <w:jc w:val="left"/>
            </w:pPr>
            <w:r>
              <w:rPr>
                <w:rFonts w:ascii="Calibri" w:cs="Calibri" w:eastAsia="Calibri" w:hAnsi="Calibri"/>
                <w:b/>
                <w:bCs/>
                <w:sz w:val="19"/>
                <w:szCs w:val="19"/>
              </w:rPr>
              <w:t xml:space="preserve">Join and drafting</w:t>
            </w:r>
          </w:p>
        </w:tc>
        <w:tc>
          <w:tcPr>
            <w:tcW w:type="dxa" w:w="6750"/>
            <w:shd w:fill="EDEFF4" w:val="clear"/>
            <w:tcMar>
              <w:top w:type="dxa" w:w="90"/>
              <w:left w:type="dxa" w:w="110"/>
              <w:bottom w:type="dxa" w:w="90"/>
              <w:right w:type="dxa" w:w="110"/>
            </w:tcMar>
          </w:tcPr>
          <w:p>
            <w:pPr>
              <w:jc w:val="left"/>
            </w:pPr>
            <w:r>
              <w:rPr>
                <w:rFonts w:ascii="Calibri" w:cs="Calibri" w:eastAsia="Calibri" w:hAnsi="Calibri"/>
                <w:b w:val="false"/>
                <w:bCs w:val="false"/>
                <w:sz w:val="19"/>
                <w:szCs w:val="19"/>
              </w:rPr>
              <w:t xml:space="preserve">Sequential — the Drafting Agent starts only once the gap analysis is available.</w:t>
            </w:r>
          </w:p>
        </w:tc>
      </w:tr>
      <w:tr>
        <w:tc>
          <w:tcPr>
            <w:tcW w:type="dxa" w:w="2600"/>
            <w:shd w:fill="FFFFFF" w:val="clear"/>
            <w:tcMar>
              <w:top w:type="dxa" w:w="90"/>
              <w:left w:type="dxa" w:w="110"/>
              <w:bottom w:type="dxa" w:w="90"/>
              <w:right w:type="dxa" w:w="110"/>
            </w:tcMar>
          </w:tcPr>
          <w:p>
            <w:pPr>
              <w:jc w:val="left"/>
            </w:pPr>
            <w:r>
              <w:rPr>
                <w:rFonts w:ascii="Calibri" w:cs="Calibri" w:eastAsia="Calibri" w:hAnsi="Calibri"/>
                <w:b/>
                <w:bCs/>
                <w:sz w:val="19"/>
                <w:szCs w:val="19"/>
              </w:rPr>
              <w:t xml:space="preserve">Parallel compliance</w:t>
            </w:r>
          </w:p>
        </w:tc>
        <w:tc>
          <w:tcPr>
            <w:tcW w:type="dxa" w:w="6750"/>
            <w:shd w:fill="FFFFFF" w:val="clear"/>
            <w:tcMar>
              <w:top w:type="dxa" w:w="90"/>
              <w:left w:type="dxa" w:w="110"/>
              <w:bottom w:type="dxa" w:w="90"/>
              <w:right w:type="dxa" w:w="110"/>
            </w:tcMar>
          </w:tcPr>
          <w:p>
            <w:pPr>
              <w:jc w:val="left"/>
            </w:pPr>
            <w:r>
              <w:rPr>
                <w:rFonts w:ascii="Calibri" w:cs="Calibri" w:eastAsia="Calibri" w:hAnsi="Calibri"/>
                <w:b w:val="false"/>
                <w:bCs w:val="false"/>
                <w:sz w:val="19"/>
                <w:szCs w:val="19"/>
              </w:rPr>
              <w:t xml:space="preserve">Parallel — the Citation &amp; Compliance Agent and Collaboration Agent both work once a draft exists.</w:t>
            </w:r>
          </w:p>
        </w:tc>
      </w:tr>
      <w:tr>
        <w:tc>
          <w:tcPr>
            <w:tcW w:type="dxa" w:w="2600"/>
            <w:shd w:fill="EDEFF4" w:val="clear"/>
            <w:tcMar>
              <w:top w:type="dxa" w:w="90"/>
              <w:left w:type="dxa" w:w="110"/>
              <w:bottom w:type="dxa" w:w="90"/>
              <w:right w:type="dxa" w:w="110"/>
            </w:tcMar>
          </w:tcPr>
          <w:p>
            <w:pPr>
              <w:jc w:val="left"/>
            </w:pPr>
            <w:r>
              <w:rPr>
                <w:rFonts w:ascii="Calibri" w:cs="Calibri" w:eastAsia="Calibri" w:hAnsi="Calibri"/>
                <w:b/>
                <w:bCs/>
                <w:sz w:val="19"/>
                <w:szCs w:val="19"/>
              </w:rPr>
              <w:t xml:space="preserve">Faculty approval</w:t>
            </w:r>
          </w:p>
        </w:tc>
        <w:tc>
          <w:tcPr>
            <w:tcW w:type="dxa" w:w="6750"/>
            <w:shd w:fill="EDEFF4" w:val="clear"/>
            <w:tcMar>
              <w:top w:type="dxa" w:w="90"/>
              <w:left w:type="dxa" w:w="110"/>
              <w:bottom w:type="dxa" w:w="90"/>
              <w:right w:type="dxa" w:w="110"/>
            </w:tcMar>
          </w:tcPr>
          <w:p>
            <w:pPr>
              <w:jc w:val="left"/>
            </w:pPr>
            <w:r>
              <w:rPr>
                <w:rFonts w:ascii="Calibri" w:cs="Calibri" w:eastAsia="Calibri" w:hAnsi="Calibri"/>
                <w:b w:val="false"/>
                <w:bCs w:val="false"/>
                <w:sz w:val="19"/>
                <w:szCs w:val="19"/>
              </w:rPr>
              <w:t xml:space="preserve">Sequential — faculty approves before export or submission.</w:t>
            </w:r>
          </w:p>
        </w:tc>
      </w:tr>
      <w:tr>
        <w:tc>
          <w:tcPr>
            <w:tcW w:type="dxa" w:w="2600"/>
            <w:shd w:fill="FFFFFF" w:val="clear"/>
            <w:tcMar>
              <w:top w:type="dxa" w:w="90"/>
              <w:left w:type="dxa" w:w="110"/>
              <w:bottom w:type="dxa" w:w="90"/>
              <w:right w:type="dxa" w:w="110"/>
            </w:tcMar>
          </w:tcPr>
          <w:p>
            <w:pPr>
              <w:jc w:val="left"/>
            </w:pPr>
            <w:r>
              <w:rPr>
                <w:rFonts w:ascii="Calibri" w:cs="Calibri" w:eastAsia="Calibri" w:hAnsi="Calibri"/>
                <w:b/>
                <w:bCs/>
                <w:sz w:val="19"/>
                <w:szCs w:val="19"/>
              </w:rPr>
              <w:t xml:space="preserve">Export and tracking</w:t>
            </w:r>
          </w:p>
        </w:tc>
        <w:tc>
          <w:tcPr>
            <w:tcW w:type="dxa" w:w="6750"/>
            <w:shd w:fill="FFFFFF" w:val="clear"/>
            <w:tcMar>
              <w:top w:type="dxa" w:w="90"/>
              <w:left w:type="dxa" w:w="110"/>
              <w:bottom w:type="dxa" w:w="90"/>
              <w:right w:type="dxa" w:w="110"/>
            </w:tcMar>
          </w:tcPr>
          <w:p>
            <w:pPr>
              <w:jc w:val="left"/>
            </w:pPr>
            <w:r>
              <w:rPr>
                <w:rFonts w:ascii="Calibri" w:cs="Calibri" w:eastAsia="Calibri" w:hAnsi="Calibri"/>
                <w:b w:val="false"/>
                <w:bCs w:val="false"/>
                <w:sz w:val="19"/>
                <w:szCs w:val="19"/>
              </w:rPr>
              <w:t xml:space="preserve">Parallel after approval — export and repository logging run together.</w:t>
            </w:r>
          </w:p>
        </w:tc>
      </w:tr>
    </w:tbl>
    <w:p>
      <w:pPr>
        <w:pStyle w:val="Heading1"/>
        <w:spacing w:after="160" w:before="360"/>
      </w:pPr>
      <w:r>
        <w:t xml:space="preserve">Pilot Artifacts and Guardrails</w:t>
      </w:r>
    </w:p>
    <w:p>
      <w:pPr>
        <w:pStyle w:val="Heading3"/>
        <w:spacing w:after="100" w:before="220"/>
      </w:pPr>
      <w:r>
        <w:t xml:space="preserve">Pilot artifacts</w:t>
      </w:r>
    </w:p>
    <w:p>
      <w:pPr>
        <w:pStyle w:val="ListParagraph"/>
        <w:numPr>
          <w:ilvl w:val="0"/>
          <w:numId w:val="2"/>
        </w:numPr>
        <w:spacing w:after="90"/>
      </w:pPr>
      <w:r>
        <w:rPr>
          <w:rFonts w:ascii="Calibri" w:cs="Calibri" w:eastAsia="Calibri" w:hAnsi="Calibri"/>
          <w:sz w:val="21"/>
          <w:szCs w:val="21"/>
        </w:rPr>
        <w:t xml:space="preserve">A ranked reading list and gap summary for one active research question.</w:t>
      </w:r>
    </w:p>
    <w:p>
      <w:pPr>
        <w:pStyle w:val="ListParagraph"/>
        <w:numPr>
          <w:ilvl w:val="0"/>
          <w:numId w:val="2"/>
        </w:numPr>
        <w:spacing w:after="90"/>
      </w:pPr>
      <w:r>
        <w:rPr>
          <w:rFonts w:ascii="Calibri" w:cs="Calibri" w:eastAsia="Calibri" w:hAnsi="Calibri"/>
          <w:sz w:val="21"/>
          <w:szCs w:val="21"/>
        </w:rPr>
        <w:t xml:space="preserve">One outline-to-draft cycle in a specific target venue's format.</w:t>
      </w:r>
    </w:p>
    <w:p>
      <w:pPr>
        <w:pStyle w:val="ListParagraph"/>
        <w:numPr>
          <w:ilvl w:val="0"/>
          <w:numId w:val="2"/>
        </w:numPr>
        <w:spacing w:after="90"/>
      </w:pPr>
      <w:r>
        <w:rPr>
          <w:rFonts w:ascii="Calibri" w:cs="Calibri" w:eastAsia="Calibri" w:hAnsi="Calibri"/>
          <w:sz w:val="21"/>
          <w:szCs w:val="21"/>
        </w:rPr>
        <w:t xml:space="preserve">A citation/compliance check report against that venue's requirements.</w:t>
      </w:r>
    </w:p>
    <w:p>
      <w:pPr>
        <w:pStyle w:val="ListParagraph"/>
        <w:numPr>
          <w:ilvl w:val="0"/>
          <w:numId w:val="2"/>
        </w:numPr>
        <w:spacing w:after="90"/>
      </w:pPr>
      <w:r>
        <w:rPr>
          <w:rFonts w:ascii="Calibri" w:cs="Calibri" w:eastAsia="Calibri" w:hAnsi="Calibri"/>
          <w:sz w:val="21"/>
          <w:szCs w:val="21"/>
        </w:rPr>
        <w:t xml:space="preserve">A running funding/journal deadline digest for the faculty's stated interests.</w:t>
      </w:r>
    </w:p>
    <w:p>
      <w:pPr>
        <w:pStyle w:val="Heading3"/>
        <w:spacing w:after="100" w:before="220"/>
      </w:pPr>
      <w:r>
        <w:t xml:space="preserve">Guardrails</w:t>
      </w:r>
    </w:p>
    <w:p>
      <w:pPr>
        <w:pStyle w:val="ListParagraph"/>
        <w:numPr>
          <w:ilvl w:val="0"/>
          <w:numId w:val="2"/>
        </w:numPr>
        <w:spacing w:after="90"/>
      </w:pPr>
      <w:r>
        <w:rPr>
          <w:rFonts w:ascii="Calibri" w:cs="Calibri" w:eastAsia="Calibri" w:hAnsi="Calibri"/>
          <w:sz w:val="21"/>
          <w:szCs w:val="21"/>
        </w:rPr>
        <w:t xml:space="preserve">Never fabricate a citation, abstract, or claimed result.</w:t>
      </w:r>
    </w:p>
    <w:p>
      <w:pPr>
        <w:pStyle w:val="ListParagraph"/>
        <w:numPr>
          <w:ilvl w:val="0"/>
          <w:numId w:val="2"/>
        </w:numPr>
        <w:spacing w:after="90"/>
      </w:pPr>
      <w:r>
        <w:rPr>
          <w:rFonts w:ascii="Calibri" w:cs="Calibri" w:eastAsia="Calibri" w:hAnsi="Calibri"/>
          <w:sz w:val="21"/>
          <w:szCs w:val="21"/>
        </w:rPr>
        <w:t xml:space="preserve">Never submit or share a draft without explicit faculty approval.</w:t>
      </w:r>
    </w:p>
    <w:p>
      <w:pPr>
        <w:pStyle w:val="ListParagraph"/>
        <w:numPr>
          <w:ilvl w:val="0"/>
          <w:numId w:val="2"/>
        </w:numPr>
        <w:spacing w:after="90"/>
      </w:pPr>
      <w:r>
        <w:rPr>
          <w:rFonts w:ascii="Calibri" w:cs="Calibri" w:eastAsia="Calibri" w:hAnsi="Calibri"/>
          <w:sz w:val="21"/>
          <w:szCs w:val="21"/>
        </w:rPr>
        <w:t xml:space="preserve">Always preserve co-author attribution; never silently overwrite another author's edits.</w:t>
      </w:r>
    </w:p>
    <w:p>
      <w:pPr>
        <w:pStyle w:val="ListParagraph"/>
        <w:numPr>
          <w:ilvl w:val="0"/>
          <w:numId w:val="2"/>
        </w:numPr>
        <w:spacing w:after="90"/>
      </w:pPr>
      <w:r>
        <w:rPr>
          <w:rFonts w:ascii="Calibri" w:cs="Calibri" w:eastAsia="Calibri" w:hAnsi="Calibri"/>
          <w:sz w:val="21"/>
          <w:szCs w:val="21"/>
        </w:rPr>
        <w:t xml:space="preserve">Always keep source links and version history for every draft.</w:t>
      </w:r>
    </w:p>
    <w:p>
      <w:pPr>
        <w:pStyle w:val="ListParagraph"/>
        <w:numPr>
          <w:ilvl w:val="0"/>
          <w:numId w:val="2"/>
        </w:numPr>
        <w:spacing w:after="90"/>
      </w:pPr>
      <w:r>
        <w:rPr>
          <w:rFonts w:ascii="Calibri" w:cs="Calibri" w:eastAsia="Calibri" w:hAnsi="Calibri"/>
          <w:sz w:val="21"/>
          <w:szCs w:val="21"/>
        </w:rPr>
        <w:t xml:space="preserve">Flag uncertainty about novelty rather than asserting it.</w:t>
      </w:r>
    </w:p>
    <w:p>
      <w:pPr>
        <w:pStyle w:val="Heading1"/>
        <w:spacing w:after="160" w:before="360"/>
      </w:pPr>
      <w:r>
        <w:t xml:space="preserve">Suggested MVP Roadmap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3900"/>
        <w:gridCol w:w="2850"/>
      </w:tblGrid>
      <w:tr>
        <w:trPr>
          <w:tblHeader/>
        </w:trPr>
        <w:tc>
          <w:tcPr>
            <w:tcW w:type="dxa" w:w="700"/>
            <w:shd w:fill="1B2A4A" w:val="clear"/>
            <w:tcMar>
              <w:top w:type="dxa" w:w="90"/>
              <w:left w:type="dxa" w:w="110"/>
              <w:bottom w:type="dxa" w:w="90"/>
              <w:right w:type="dxa" w:w="110"/>
            </w:tcMar>
          </w:tcPr>
          <w:p>
            <w:pPr>
              <w:jc w:val="left"/>
            </w:pPr>
            <w:r>
              <w:rPr>
                <w:rFonts w:ascii="Calibri" w:cs="Calibri" w:eastAsia="Calibri" w:hAnsi="Calibri"/>
                <w:b/>
                <w:bCs/>
                <w:color w:val="FFFFFF"/>
                <w:sz w:val="19"/>
                <w:szCs w:val="19"/>
              </w:rPr>
              <w:t xml:space="preserve">Order</w:t>
            </w:r>
          </w:p>
        </w:tc>
        <w:tc>
          <w:tcPr>
            <w:tcW w:type="dxa" w:w="1900"/>
            <w:shd w:fill="1B2A4A" w:val="clear"/>
            <w:tcMar>
              <w:top w:type="dxa" w:w="90"/>
              <w:left w:type="dxa" w:w="110"/>
              <w:bottom w:type="dxa" w:w="90"/>
              <w:right w:type="dxa" w:w="110"/>
            </w:tcMar>
          </w:tcPr>
          <w:p>
            <w:pPr>
              <w:jc w:val="left"/>
            </w:pPr>
            <w:r>
              <w:rPr>
                <w:rFonts w:ascii="Calibri" w:cs="Calibri" w:eastAsia="Calibri" w:hAnsi="Calibri"/>
                <w:b/>
                <w:bCs/>
                <w:color w:val="FFFFFF"/>
                <w:sz w:val="19"/>
                <w:szCs w:val="19"/>
              </w:rPr>
              <w:t xml:space="preserve">Agent</w:t>
            </w:r>
          </w:p>
        </w:tc>
        <w:tc>
          <w:tcPr>
            <w:tcW w:type="dxa" w:w="3900"/>
            <w:shd w:fill="1B2A4A" w:val="clear"/>
            <w:tcMar>
              <w:top w:type="dxa" w:w="90"/>
              <w:left w:type="dxa" w:w="110"/>
              <w:bottom w:type="dxa" w:w="90"/>
              <w:right w:type="dxa" w:w="110"/>
            </w:tcMar>
          </w:tcPr>
          <w:p>
            <w:pPr>
              <w:jc w:val="left"/>
            </w:pPr>
            <w:r>
              <w:rPr>
                <w:rFonts w:ascii="Calibri" w:cs="Calibri" w:eastAsia="Calibri" w:hAnsi="Calibri"/>
                <w:b/>
                <w:bCs/>
                <w:color w:val="FFFFFF"/>
                <w:sz w:val="19"/>
                <w:szCs w:val="19"/>
              </w:rPr>
              <w:t xml:space="preserve">Role and communication</w:t>
            </w:r>
          </w:p>
        </w:tc>
        <w:tc>
          <w:tcPr>
            <w:tcW w:type="dxa" w:w="2850"/>
            <w:shd w:fill="1B2A4A" w:val="clear"/>
            <w:tcMar>
              <w:top w:type="dxa" w:w="90"/>
              <w:left w:type="dxa" w:w="110"/>
              <w:bottom w:type="dxa" w:w="90"/>
              <w:right w:type="dxa" w:w="110"/>
            </w:tcMar>
          </w:tcPr>
          <w:p>
            <w:pPr>
              <w:jc w:val="left"/>
            </w:pPr>
            <w:r>
              <w:rPr>
                <w:rFonts w:ascii="Calibri" w:cs="Calibri" w:eastAsia="Calibri" w:hAnsi="Calibri"/>
                <w:b/>
                <w:bCs/>
                <w:color w:val="FFFFFF"/>
                <w:sz w:val="19"/>
                <w:szCs w:val="19"/>
              </w:rPr>
              <w:t xml:space="preserve">Guardrails</w:t>
            </w:r>
          </w:p>
        </w:tc>
      </w:tr>
      <w:tr>
        <w:tc>
          <w:tcPr>
            <w:tcW w:type="dxa" w:w="700"/>
            <w:shd w:fill="EDEFF4" w:val="clear"/>
            <w:tcMar>
              <w:top w:type="dxa" w:w="90"/>
              <w:left w:type="dxa" w:w="110"/>
              <w:bottom w:type="dxa" w:w="90"/>
              <w:right w:type="dxa" w:w="110"/>
            </w:tcMar>
          </w:tcPr>
          <w:p>
            <w:pPr>
              <w:jc w:val="center"/>
            </w:pPr>
            <w:r>
              <w:rPr>
                <w:rFonts w:ascii="Calibri" w:cs="Calibri" w:eastAsia="Calibri" w:hAnsi="Calibri"/>
                <w:b w:val="false"/>
                <w:bCs w:val="false"/>
                <w:sz w:val="19"/>
                <w:szCs w:val="19"/>
              </w:rPr>
              <w:t xml:space="preserve">1</w:t>
            </w:r>
          </w:p>
        </w:tc>
        <w:tc>
          <w:tcPr>
            <w:tcW w:type="dxa" w:w="1900"/>
            <w:shd w:fill="EDEFF4" w:val="clear"/>
            <w:tcMar>
              <w:top w:type="dxa" w:w="90"/>
              <w:left w:type="dxa" w:w="110"/>
              <w:bottom w:type="dxa" w:w="90"/>
              <w:right w:type="dxa" w:w="110"/>
            </w:tcMar>
          </w:tcPr>
          <w:p>
            <w:pPr>
              <w:jc w:val="left"/>
            </w:pPr>
            <w:r>
              <w:rPr>
                <w:rFonts w:ascii="Calibri" w:cs="Calibri" w:eastAsia="Calibri" w:hAnsi="Calibri"/>
                <w:b/>
                <w:bCs/>
                <w:sz w:val="19"/>
                <w:szCs w:val="19"/>
              </w:rPr>
              <w:t xml:space="preserve">Literature discovery</w:t>
            </w:r>
          </w:p>
        </w:tc>
        <w:tc>
          <w:tcPr>
            <w:tcW w:type="dxa" w:w="3900"/>
            <w:shd w:fill="EDEFF4" w:val="clear"/>
            <w:tcMar>
              <w:top w:type="dxa" w:w="90"/>
              <w:left w:type="dxa" w:w="110"/>
              <w:bottom w:type="dxa" w:w="90"/>
              <w:right w:type="dxa" w:w="110"/>
            </w:tcMar>
          </w:tcPr>
          <w:p>
            <w:pPr>
              <w:jc w:val="left"/>
            </w:pPr>
            <w:r>
              <w:rPr>
                <w:rFonts w:ascii="Calibri" w:cs="Calibri" w:eastAsia="Calibri" w:hAnsi="Calibri"/>
                <w:b w:val="false"/>
                <w:bCs w:val="false"/>
                <w:sz w:val="19"/>
                <w:szCs w:val="19"/>
              </w:rPr>
              <w:t xml:space="preserve">Ranked reading list with summaries for a stated topic.</w:t>
            </w:r>
          </w:p>
        </w:tc>
        <w:tc>
          <w:tcPr>
            <w:tcW w:type="dxa" w:w="2850"/>
            <w:shd w:fill="EDEFF4" w:val="clear"/>
            <w:tcMar>
              <w:top w:type="dxa" w:w="90"/>
              <w:left w:type="dxa" w:w="110"/>
              <w:bottom w:type="dxa" w:w="90"/>
              <w:right w:type="dxa" w:w="110"/>
            </w:tcMar>
          </w:tcPr>
          <w:p>
            <w:pPr>
              <w:jc w:val="left"/>
            </w:pPr>
            <w:r>
              <w:rPr>
                <w:rFonts w:ascii="Calibri" w:cs="Calibri" w:eastAsia="Calibri" w:hAnsi="Calibri"/>
                <w:b w:val="false"/>
                <w:bCs w:val="false"/>
                <w:sz w:val="19"/>
                <w:szCs w:val="19"/>
              </w:rPr>
              <w:t xml:space="preserve">Coordinator, Literature Discovery Agent.</w:t>
            </w:r>
          </w:p>
        </w:tc>
      </w:tr>
      <w:tr>
        <w:tc>
          <w:tcPr>
            <w:tcW w:type="dxa" w:w="700"/>
            <w:shd w:fill="FFFFFF" w:val="clear"/>
            <w:tcMar>
              <w:top w:type="dxa" w:w="90"/>
              <w:left w:type="dxa" w:w="110"/>
              <w:bottom w:type="dxa" w:w="90"/>
              <w:right w:type="dxa" w:w="110"/>
            </w:tcMar>
          </w:tcPr>
          <w:p>
            <w:pPr>
              <w:jc w:val="center"/>
            </w:pPr>
            <w:r>
              <w:rPr>
                <w:rFonts w:ascii="Calibri" w:cs="Calibri" w:eastAsia="Calibri" w:hAnsi="Calibri"/>
                <w:b w:val="false"/>
                <w:bCs w:val="false"/>
                <w:sz w:val="19"/>
                <w:szCs w:val="19"/>
              </w:rPr>
              <w:t xml:space="preserve">2</w:t>
            </w:r>
          </w:p>
        </w:tc>
        <w:tc>
          <w:tcPr>
            <w:tcW w:type="dxa" w:w="1900"/>
            <w:shd w:fill="FFFFFF" w:val="clear"/>
            <w:tcMar>
              <w:top w:type="dxa" w:w="90"/>
              <w:left w:type="dxa" w:w="110"/>
              <w:bottom w:type="dxa" w:w="90"/>
              <w:right w:type="dxa" w:w="110"/>
            </w:tcMar>
          </w:tcPr>
          <w:p>
            <w:pPr>
              <w:jc w:val="left"/>
            </w:pPr>
            <w:r>
              <w:rPr>
                <w:rFonts w:ascii="Calibri" w:cs="Calibri" w:eastAsia="Calibri" w:hAnsi="Calibri"/>
                <w:b/>
                <w:bCs/>
                <w:sz w:val="19"/>
                <w:szCs w:val="19"/>
              </w:rPr>
              <w:t xml:space="preserve">Gap analysis</w:t>
            </w:r>
          </w:p>
        </w:tc>
        <w:tc>
          <w:tcPr>
            <w:tcW w:type="dxa" w:w="3900"/>
            <w:shd w:fill="FFFFFF" w:val="clear"/>
            <w:tcMar>
              <w:top w:type="dxa" w:w="90"/>
              <w:left w:type="dxa" w:w="110"/>
              <w:bottom w:type="dxa" w:w="90"/>
              <w:right w:type="dxa" w:w="110"/>
            </w:tcMar>
          </w:tcPr>
          <w:p>
            <w:pPr>
              <w:jc w:val="left"/>
            </w:pPr>
            <w:r>
              <w:rPr>
                <w:rFonts w:ascii="Calibri" w:cs="Calibri" w:eastAsia="Calibri" w:hAnsi="Calibri"/>
                <w:b w:val="false"/>
                <w:bCs w:val="false"/>
                <w:sz w:val="19"/>
                <w:szCs w:val="19"/>
              </w:rPr>
              <w:t xml:space="preserve">Compare topic against discovered literature; flag novelty.</w:t>
            </w:r>
          </w:p>
        </w:tc>
        <w:tc>
          <w:tcPr>
            <w:tcW w:type="dxa" w:w="2850"/>
            <w:shd w:fill="FFFFFF" w:val="clear"/>
            <w:tcMar>
              <w:top w:type="dxa" w:w="90"/>
              <w:left w:type="dxa" w:w="110"/>
              <w:bottom w:type="dxa" w:w="90"/>
              <w:right w:type="dxa" w:w="110"/>
            </w:tcMar>
          </w:tcPr>
          <w:p>
            <w:pPr>
              <w:jc w:val="left"/>
            </w:pPr>
            <w:r>
              <w:rPr>
                <w:rFonts w:ascii="Calibri" w:cs="Calibri" w:eastAsia="Calibri" w:hAnsi="Calibri"/>
                <w:b w:val="false"/>
                <w:bCs w:val="false"/>
                <w:sz w:val="19"/>
                <w:szCs w:val="19"/>
              </w:rPr>
              <w:t xml:space="preserve">Gap &amp; Idea Analysis Agent.</w:t>
            </w:r>
          </w:p>
        </w:tc>
      </w:tr>
      <w:tr>
        <w:tc>
          <w:tcPr>
            <w:tcW w:type="dxa" w:w="700"/>
            <w:shd w:fill="EDEFF4" w:val="clear"/>
            <w:tcMar>
              <w:top w:type="dxa" w:w="90"/>
              <w:left w:type="dxa" w:w="110"/>
              <w:bottom w:type="dxa" w:w="90"/>
              <w:right w:type="dxa" w:w="110"/>
            </w:tcMar>
          </w:tcPr>
          <w:p>
            <w:pPr>
              <w:jc w:val="center"/>
            </w:pPr>
            <w:r>
              <w:rPr>
                <w:rFonts w:ascii="Calibri" w:cs="Calibri" w:eastAsia="Calibri" w:hAnsi="Calibri"/>
                <w:b w:val="false"/>
                <w:bCs w:val="false"/>
                <w:sz w:val="19"/>
                <w:szCs w:val="19"/>
              </w:rPr>
              <w:t xml:space="preserve">3</w:t>
            </w:r>
          </w:p>
        </w:tc>
        <w:tc>
          <w:tcPr>
            <w:tcW w:type="dxa" w:w="1900"/>
            <w:shd w:fill="EDEFF4" w:val="clear"/>
            <w:tcMar>
              <w:top w:type="dxa" w:w="90"/>
              <w:left w:type="dxa" w:w="110"/>
              <w:bottom w:type="dxa" w:w="90"/>
              <w:right w:type="dxa" w:w="110"/>
            </w:tcMar>
          </w:tcPr>
          <w:p>
            <w:pPr>
              <w:jc w:val="left"/>
            </w:pPr>
            <w:r>
              <w:rPr>
                <w:rFonts w:ascii="Calibri" w:cs="Calibri" w:eastAsia="Calibri" w:hAnsi="Calibri"/>
                <w:b/>
                <w:bCs/>
                <w:sz w:val="19"/>
                <w:szCs w:val="19"/>
              </w:rPr>
              <w:t xml:space="preserve">Outline-to-draft</w:t>
            </w:r>
          </w:p>
        </w:tc>
        <w:tc>
          <w:tcPr>
            <w:tcW w:type="dxa" w:w="3900"/>
            <w:shd w:fill="EDEFF4" w:val="clear"/>
            <w:tcMar>
              <w:top w:type="dxa" w:w="90"/>
              <w:left w:type="dxa" w:w="110"/>
              <w:bottom w:type="dxa" w:w="90"/>
              <w:right w:type="dxa" w:w="110"/>
            </w:tcMar>
          </w:tcPr>
          <w:p>
            <w:pPr>
              <w:jc w:val="left"/>
            </w:pPr>
            <w:r>
              <w:rPr>
                <w:rFonts w:ascii="Calibri" w:cs="Calibri" w:eastAsia="Calibri" w:hAnsi="Calibri"/>
                <w:b w:val="false"/>
                <w:bCs w:val="false"/>
                <w:sz w:val="19"/>
                <w:szCs w:val="19"/>
              </w:rPr>
              <w:t xml:space="preserve">Outline first, full draft after confirmation, in target venue format.</w:t>
            </w:r>
          </w:p>
        </w:tc>
        <w:tc>
          <w:tcPr>
            <w:tcW w:type="dxa" w:w="2850"/>
            <w:shd w:fill="EDEFF4" w:val="clear"/>
            <w:tcMar>
              <w:top w:type="dxa" w:w="90"/>
              <w:left w:type="dxa" w:w="110"/>
              <w:bottom w:type="dxa" w:w="90"/>
              <w:right w:type="dxa" w:w="110"/>
            </w:tcMar>
          </w:tcPr>
          <w:p>
            <w:pPr>
              <w:jc w:val="left"/>
            </w:pPr>
            <w:r>
              <w:rPr>
                <w:rFonts w:ascii="Calibri" w:cs="Calibri" w:eastAsia="Calibri" w:hAnsi="Calibri"/>
                <w:b w:val="false"/>
                <w:bCs w:val="false"/>
                <w:sz w:val="19"/>
                <w:szCs w:val="19"/>
              </w:rPr>
              <w:t xml:space="preserve">Drafting &amp; Writing Agent.</w:t>
            </w:r>
          </w:p>
        </w:tc>
      </w:tr>
      <w:tr>
        <w:tc>
          <w:tcPr>
            <w:tcW w:type="dxa" w:w="700"/>
            <w:shd w:fill="FFFFFF" w:val="clear"/>
            <w:tcMar>
              <w:top w:type="dxa" w:w="90"/>
              <w:left w:type="dxa" w:w="110"/>
              <w:bottom w:type="dxa" w:w="90"/>
              <w:right w:type="dxa" w:w="110"/>
            </w:tcMar>
          </w:tcPr>
          <w:p>
            <w:pPr>
              <w:jc w:val="center"/>
            </w:pPr>
            <w:r>
              <w:rPr>
                <w:rFonts w:ascii="Calibri" w:cs="Calibri" w:eastAsia="Calibri" w:hAnsi="Calibri"/>
                <w:b w:val="false"/>
                <w:bCs w:val="false"/>
                <w:sz w:val="19"/>
                <w:szCs w:val="19"/>
              </w:rPr>
              <w:t xml:space="preserve">4</w:t>
            </w:r>
          </w:p>
        </w:tc>
        <w:tc>
          <w:tcPr>
            <w:tcW w:type="dxa" w:w="1900"/>
            <w:shd w:fill="FFFFFF" w:val="clear"/>
            <w:tcMar>
              <w:top w:type="dxa" w:w="90"/>
              <w:left w:type="dxa" w:w="110"/>
              <w:bottom w:type="dxa" w:w="90"/>
              <w:right w:type="dxa" w:w="110"/>
            </w:tcMar>
          </w:tcPr>
          <w:p>
            <w:pPr>
              <w:jc w:val="left"/>
            </w:pPr>
            <w:r>
              <w:rPr>
                <w:rFonts w:ascii="Calibri" w:cs="Calibri" w:eastAsia="Calibri" w:hAnsi="Calibri"/>
                <w:b/>
                <w:bCs/>
                <w:sz w:val="19"/>
                <w:szCs w:val="19"/>
              </w:rPr>
              <w:t xml:space="preserve">Citation compliance</w:t>
            </w:r>
          </w:p>
        </w:tc>
        <w:tc>
          <w:tcPr>
            <w:tcW w:type="dxa" w:w="3900"/>
            <w:shd w:fill="FFFFFF" w:val="clear"/>
            <w:tcMar>
              <w:top w:type="dxa" w:w="90"/>
              <w:left w:type="dxa" w:w="110"/>
              <w:bottom w:type="dxa" w:w="90"/>
              <w:right w:type="dxa" w:w="110"/>
            </w:tcMar>
          </w:tcPr>
          <w:p>
            <w:pPr>
              <w:jc w:val="left"/>
            </w:pPr>
            <w:r>
              <w:rPr>
                <w:rFonts w:ascii="Calibri" w:cs="Calibri" w:eastAsia="Calibri" w:hAnsi="Calibri"/>
                <w:b w:val="false"/>
                <w:bCs w:val="false"/>
                <w:sz w:val="19"/>
                <w:szCs w:val="19"/>
              </w:rPr>
              <w:t xml:space="preserve">Formatting and reference completeness check.</w:t>
            </w:r>
          </w:p>
        </w:tc>
        <w:tc>
          <w:tcPr>
            <w:tcW w:type="dxa" w:w="2850"/>
            <w:shd w:fill="FFFFFF" w:val="clear"/>
            <w:tcMar>
              <w:top w:type="dxa" w:w="90"/>
              <w:left w:type="dxa" w:w="110"/>
              <w:bottom w:type="dxa" w:w="90"/>
              <w:right w:type="dxa" w:w="110"/>
            </w:tcMar>
          </w:tcPr>
          <w:p>
            <w:pPr>
              <w:jc w:val="left"/>
            </w:pPr>
            <w:r>
              <w:rPr>
                <w:rFonts w:ascii="Calibri" w:cs="Calibri" w:eastAsia="Calibri" w:hAnsi="Calibri"/>
                <w:b w:val="false"/>
                <w:bCs w:val="false"/>
                <w:sz w:val="19"/>
                <w:szCs w:val="19"/>
              </w:rPr>
              <w:t xml:space="preserve">Citation &amp; Compliance Agent.</w:t>
            </w:r>
          </w:p>
        </w:tc>
      </w:tr>
      <w:tr>
        <w:tc>
          <w:tcPr>
            <w:tcW w:type="dxa" w:w="700"/>
            <w:shd w:fill="EDEFF4" w:val="clear"/>
            <w:tcMar>
              <w:top w:type="dxa" w:w="90"/>
              <w:left w:type="dxa" w:w="110"/>
              <w:bottom w:type="dxa" w:w="90"/>
              <w:right w:type="dxa" w:w="110"/>
            </w:tcMar>
          </w:tcPr>
          <w:p>
            <w:pPr>
              <w:jc w:val="center"/>
            </w:pPr>
            <w:r>
              <w:rPr>
                <w:rFonts w:ascii="Calibri" w:cs="Calibri" w:eastAsia="Calibri" w:hAnsi="Calibri"/>
                <w:b w:val="false"/>
                <w:bCs w:val="false"/>
                <w:sz w:val="19"/>
                <w:szCs w:val="19"/>
              </w:rPr>
              <w:t xml:space="preserve">5</w:t>
            </w:r>
          </w:p>
        </w:tc>
        <w:tc>
          <w:tcPr>
            <w:tcW w:type="dxa" w:w="1900"/>
            <w:shd w:fill="EDEFF4" w:val="clear"/>
            <w:tcMar>
              <w:top w:type="dxa" w:w="90"/>
              <w:left w:type="dxa" w:w="110"/>
              <w:bottom w:type="dxa" w:w="90"/>
              <w:right w:type="dxa" w:w="110"/>
            </w:tcMar>
          </w:tcPr>
          <w:p>
            <w:pPr>
              <w:jc w:val="left"/>
            </w:pPr>
            <w:r>
              <w:rPr>
                <w:rFonts w:ascii="Calibri" w:cs="Calibri" w:eastAsia="Calibri" w:hAnsi="Calibri"/>
                <w:b/>
                <w:bCs/>
                <w:sz w:val="19"/>
                <w:szCs w:val="19"/>
              </w:rPr>
              <w:t xml:space="preserve">Funding/journal radar</w:t>
            </w:r>
          </w:p>
        </w:tc>
        <w:tc>
          <w:tcPr>
            <w:tcW w:type="dxa" w:w="3900"/>
            <w:shd w:fill="EDEFF4" w:val="clear"/>
            <w:tcMar>
              <w:top w:type="dxa" w:w="90"/>
              <w:left w:type="dxa" w:w="110"/>
              <w:bottom w:type="dxa" w:w="90"/>
              <w:right w:type="dxa" w:w="110"/>
            </w:tcMar>
          </w:tcPr>
          <w:p>
            <w:pPr>
              <w:jc w:val="left"/>
            </w:pPr>
            <w:r>
              <w:rPr>
                <w:rFonts w:ascii="Calibri" w:cs="Calibri" w:eastAsia="Calibri" w:hAnsi="Calibri"/>
                <w:b w:val="false"/>
                <w:bCs w:val="false"/>
                <w:sz w:val="19"/>
                <w:szCs w:val="19"/>
              </w:rPr>
              <w:t xml:space="preserve">Continuous deadline digest.</w:t>
            </w:r>
          </w:p>
        </w:tc>
        <w:tc>
          <w:tcPr>
            <w:tcW w:type="dxa" w:w="2850"/>
            <w:shd w:fill="EDEFF4" w:val="clear"/>
            <w:tcMar>
              <w:top w:type="dxa" w:w="90"/>
              <w:left w:type="dxa" w:w="110"/>
              <w:bottom w:type="dxa" w:w="90"/>
              <w:right w:type="dxa" w:w="110"/>
            </w:tcMar>
          </w:tcPr>
          <w:p>
            <w:pPr>
              <w:jc w:val="left"/>
            </w:pPr>
            <w:r>
              <w:rPr>
                <w:rFonts w:ascii="Calibri" w:cs="Calibri" w:eastAsia="Calibri" w:hAnsi="Calibri"/>
                <w:b w:val="false"/>
                <w:bCs w:val="false"/>
                <w:sz w:val="19"/>
                <w:szCs w:val="19"/>
              </w:rPr>
              <w:t xml:space="preserve">Funding / Journal Radar Agent.</w:t>
            </w:r>
          </w:p>
        </w:tc>
      </w:tr>
      <w:tr>
        <w:tc>
          <w:tcPr>
            <w:tcW w:type="dxa" w:w="700"/>
            <w:shd w:fill="FFFFFF" w:val="clear"/>
            <w:tcMar>
              <w:top w:type="dxa" w:w="90"/>
              <w:left w:type="dxa" w:w="110"/>
              <w:bottom w:type="dxa" w:w="90"/>
              <w:right w:type="dxa" w:w="110"/>
            </w:tcMar>
          </w:tcPr>
          <w:p>
            <w:pPr>
              <w:jc w:val="center"/>
            </w:pPr>
            <w:r>
              <w:rPr>
                <w:rFonts w:ascii="Calibri" w:cs="Calibri" w:eastAsia="Calibri" w:hAnsi="Calibri"/>
                <w:b w:val="false"/>
                <w:bCs w:val="false"/>
                <w:sz w:val="19"/>
                <w:szCs w:val="19"/>
              </w:rPr>
              <w:t xml:space="preserve">6</w:t>
            </w:r>
          </w:p>
        </w:tc>
        <w:tc>
          <w:tcPr>
            <w:tcW w:type="dxa" w:w="1900"/>
            <w:shd w:fill="FFFFFF" w:val="clear"/>
            <w:tcMar>
              <w:top w:type="dxa" w:w="90"/>
              <w:left w:type="dxa" w:w="110"/>
              <w:bottom w:type="dxa" w:w="90"/>
              <w:right w:type="dxa" w:w="110"/>
            </w:tcMar>
          </w:tcPr>
          <w:p>
            <w:pPr>
              <w:jc w:val="left"/>
            </w:pPr>
            <w:r>
              <w:rPr>
                <w:rFonts w:ascii="Calibri" w:cs="Calibri" w:eastAsia="Calibri" w:hAnsi="Calibri"/>
                <w:b/>
                <w:bCs/>
                <w:sz w:val="19"/>
                <w:szCs w:val="19"/>
              </w:rPr>
              <w:t xml:space="preserve">Multi-author collaboration</w:t>
            </w:r>
          </w:p>
        </w:tc>
        <w:tc>
          <w:tcPr>
            <w:tcW w:type="dxa" w:w="3900"/>
            <w:shd w:fill="FFFFFF" w:val="clear"/>
            <w:tcMar>
              <w:top w:type="dxa" w:w="90"/>
              <w:left w:type="dxa" w:w="110"/>
              <w:bottom w:type="dxa" w:w="90"/>
              <w:right w:type="dxa" w:w="110"/>
            </w:tcMar>
          </w:tcPr>
          <w:p>
            <w:pPr>
              <w:jc w:val="left"/>
            </w:pPr>
            <w:r>
              <w:rPr>
                <w:rFonts w:ascii="Calibri" w:cs="Calibri" w:eastAsia="Calibri" w:hAnsi="Calibri"/>
                <w:b w:val="false"/>
                <w:bCs w:val="false"/>
                <w:sz w:val="19"/>
                <w:szCs w:val="19"/>
              </w:rPr>
              <w:t xml:space="preserve">Section ownership and edit consolidation.</w:t>
            </w:r>
          </w:p>
        </w:tc>
        <w:tc>
          <w:tcPr>
            <w:tcW w:type="dxa" w:w="2850"/>
            <w:shd w:fill="FFFFFF" w:val="clear"/>
            <w:tcMar>
              <w:top w:type="dxa" w:w="90"/>
              <w:left w:type="dxa" w:w="110"/>
              <w:bottom w:type="dxa" w:w="90"/>
              <w:right w:type="dxa" w:w="110"/>
            </w:tcMar>
          </w:tcPr>
          <w:p>
            <w:pPr>
              <w:jc w:val="left"/>
            </w:pPr>
            <w:r>
              <w:rPr>
                <w:rFonts w:ascii="Calibri" w:cs="Calibri" w:eastAsia="Calibri" w:hAnsi="Calibri"/>
                <w:b w:val="false"/>
                <w:bCs w:val="false"/>
                <w:sz w:val="19"/>
                <w:szCs w:val="19"/>
              </w:rPr>
              <w:t xml:space="preserve">Collaboration Agent.</w:t>
            </w:r>
          </w:p>
        </w:tc>
      </w:tr>
    </w:tbl>
    <w:p>
      <w:pPr>
        <w:pStyle w:val="Heading1"/>
        <w:spacing w:after="160" w:before="360"/>
      </w:pPr>
      <w:r>
        <w:t xml:space="preserve">Reference Architecture</w:t>
      </w:r>
    </w:p>
    <w:p>
      <w:pPr>
        <w:pStyle w:val="ListParagraph"/>
        <w:numPr>
          <w:ilvl w:val="0"/>
          <w:numId w:val="2"/>
        </w:numPr>
        <w:spacing w:after="90"/>
      </w:pPr>
      <w:r>
        <w:rPr>
          <w:rFonts w:ascii="Calibri" w:cs="Calibri" w:eastAsia="Calibri" w:hAnsi="Calibri"/>
          <w:b/>
          <w:bCs/>
          <w:sz w:val="21"/>
          <w:szCs w:val="21"/>
        </w:rPr>
        <w:t xml:space="preserve">Data capture: </w:t>
      </w:r>
      <w:r>
        <w:rPr>
          <w:rFonts w:ascii="Calibri" w:cs="Calibri" w:eastAsia="Calibri" w:hAnsi="Calibri"/>
          <w:sz w:val="21"/>
          <w:szCs w:val="21"/>
        </w:rPr>
        <w:t xml:space="preserve">research question intake, venue templates, faculty's prior-work library.</w:t>
      </w:r>
    </w:p>
    <w:p>
      <w:pPr>
        <w:pStyle w:val="ListParagraph"/>
        <w:numPr>
          <w:ilvl w:val="0"/>
          <w:numId w:val="2"/>
        </w:numPr>
        <w:spacing w:after="90"/>
      </w:pPr>
      <w:r>
        <w:rPr>
          <w:rFonts w:ascii="Calibri" w:cs="Calibri" w:eastAsia="Calibri" w:hAnsi="Calibri"/>
          <w:b/>
          <w:bCs/>
          <w:sz w:val="21"/>
          <w:szCs w:val="21"/>
        </w:rPr>
        <w:t xml:space="preserve">Data layer: </w:t>
      </w:r>
      <w:r>
        <w:rPr>
          <w:rFonts w:ascii="Calibri" w:cs="Calibri" w:eastAsia="Calibri" w:hAnsi="Calibri"/>
          <w:sz w:val="21"/>
          <w:szCs w:val="21"/>
        </w:rPr>
        <w:t xml:space="preserve">canonical schema for papers, citations, deadlines, and collaborator roles.</w:t>
      </w:r>
    </w:p>
    <w:p>
      <w:pPr>
        <w:pStyle w:val="ListParagraph"/>
        <w:numPr>
          <w:ilvl w:val="0"/>
          <w:numId w:val="2"/>
        </w:numPr>
        <w:spacing w:after="90"/>
      </w:pPr>
      <w:r>
        <w:rPr>
          <w:rFonts w:ascii="Calibri" w:cs="Calibri" w:eastAsia="Calibri" w:hAnsi="Calibri"/>
          <w:b/>
          <w:bCs/>
          <w:sz w:val="21"/>
          <w:szCs w:val="21"/>
        </w:rPr>
        <w:t xml:space="preserve">AI layer: </w:t>
      </w:r>
      <w:r>
        <w:rPr>
          <w:rFonts w:ascii="Calibri" w:cs="Calibri" w:eastAsia="Calibri" w:hAnsi="Calibri"/>
          <w:sz w:val="21"/>
          <w:szCs w:val="21"/>
        </w:rPr>
        <w:t xml:space="preserve">retrieval-augmented literature search, gap analysis, drafting, and compliance checking.</w:t>
      </w:r>
    </w:p>
    <w:p>
      <w:pPr>
        <w:pStyle w:val="ListParagraph"/>
        <w:numPr>
          <w:ilvl w:val="0"/>
          <w:numId w:val="2"/>
        </w:numPr>
        <w:spacing w:after="90"/>
      </w:pPr>
      <w:r>
        <w:rPr>
          <w:rFonts w:ascii="Calibri" w:cs="Calibri" w:eastAsia="Calibri" w:hAnsi="Calibri"/>
          <w:b/>
          <w:bCs/>
          <w:sz w:val="21"/>
          <w:szCs w:val="21"/>
        </w:rPr>
        <w:t xml:space="preserve">Workflow layer: </w:t>
      </w:r>
      <w:r>
        <w:rPr>
          <w:rFonts w:ascii="Calibri" w:cs="Calibri" w:eastAsia="Calibri" w:hAnsi="Calibri"/>
          <w:sz w:val="21"/>
          <w:szCs w:val="21"/>
        </w:rPr>
        <w:t xml:space="preserve">faculty review queue, deadline alerts, version history, collaboration tracking.</w:t>
      </w:r>
    </w:p>
    <w:p>
      <w:pPr>
        <w:pStyle w:val="ListParagraph"/>
        <w:numPr>
          <w:ilvl w:val="0"/>
          <w:numId w:val="2"/>
        </w:numPr>
        <w:spacing w:after="90"/>
      </w:pPr>
      <w:r>
        <w:rPr>
          <w:rFonts w:ascii="Calibri" w:cs="Calibri" w:eastAsia="Calibri" w:hAnsi="Calibri"/>
          <w:b/>
          <w:bCs/>
          <w:sz w:val="21"/>
          <w:szCs w:val="21"/>
        </w:rPr>
        <w:t xml:space="preserve">Governance layer: </w:t>
      </w:r>
      <w:r>
        <w:rPr>
          <w:rFonts w:ascii="Calibri" w:cs="Calibri" w:eastAsia="Calibri" w:hAnsi="Calibri"/>
          <w:sz w:val="21"/>
          <w:szCs w:val="21"/>
        </w:rPr>
        <w:t xml:space="preserve">source citation requirements, audit logs, authorship attribution, approval gates.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C89B3C" w:sz="10" w:space="4"/>
      </w:pBdr>
      <w:spacing w:after="160" w:before="360"/>
    </w:pPr>
    <w:rPr>
      <w:rFonts w:ascii="Calibri" w:cs="Calibri" w:eastAsia="Calibri" w:hAnsi="Calibri"/>
      <w:b/>
      <w:bCs/>
      <w:color w:val="1B2A4A"/>
      <w:sz w:val="30"/>
      <w:szCs w:val="30"/>
    </w:rPr>
  </w:style>
  <w:style w:type="paragraph" w:styleId="Heading2">
    <w:name w:val="Heading 2"/>
    <w:basedOn w:val="Normal"/>
    <w:next w:val="Normal"/>
    <w:rPr>
      <w:rFonts w:ascii="Calibri" w:cs="Calibri" w:eastAsia="Calibri" w:hAnsi="Calibri"/>
      <w:b/>
      <w:bCs/>
      <w:color w:val="1B2A4A"/>
      <w:sz w:val="25"/>
      <w:szCs w:val="25"/>
    </w:rPr>
  </w:style>
  <w:style w:type="paragraph" w:styleId="Heading3">
    <w:name w:val="Heading 3"/>
    <w:basedOn w:val="Normal"/>
    <w:next w:val="Normal"/>
    <w:rPr>
      <w:rFonts w:ascii="Calibri" w:cs="Calibri" w:eastAsia="Calibri" w:hAnsi="Calibri"/>
      <w:b/>
      <w:bCs/>
      <w:color w:val="A3263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a0abbec9ec91976e33990bd49699f47d00a04a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2026-07-16T04:37:05.447Z</dcterms:created>
  <dcterms:modified xsi:type="dcterms:W3CDTF">2026-07-16T04:37:05.462Z</dcterms:modified>
</cp:coreProperties>
</file>

<file path=docProps/custom.xml><?xml version="1.0" encoding="utf-8"?>
<Properties xmlns="http://schemas.openxmlformats.org/officeDocument/2006/custom-properties" xmlns:vt="http://schemas.openxmlformats.org/officeDocument/2006/docPropsVTypes"/>
</file>