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Code Sentinals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Guardian 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MS Ramaiah Institute Of Technology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</w:t>
      </w:r>
      <w:r w:rsidDel="00000000" w:rsidR="00000000" w:rsidRPr="00000000">
        <w:rPr>
          <w:b w:val="1"/>
          <w:bCs w:val="1"/>
          <w:rtl w:val="0"/>
        </w:rPr>
        <w:t xml:space="preserve">May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Idea generation / brainstorming- Used LLMs to refine the core problem statement, differentiate the product moats, and structure the presentation.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generation or assistance- Used for scaffolding the OpenClaw skill pipeline, Groq API integration boilerplate, and Playwright DOM extraction scripts.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UI / UX design -N/A (Product utilizes a native Telegram Bot interface).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Content creation -Used AI to format and compile the final README documentation and adapt it into a presentation slide deck.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analysis- N/A for the development phase (though the core product uses AI natively to analyze ToS data).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Testing / debugging -Used AI assistance to troubleshoot Playwright scraping fallbacks and resolve Groq API rate-limiting/backoff logic.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Other- N/A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Feature Name- </w:t>
      </w:r>
      <w:r w:rsidDel="00000000" w:rsidR="00000000" w:rsidRPr="00000000">
        <w:rPr>
          <w:b w:val="1"/>
          <w:bCs w:val="1"/>
          <w:rtl w:val="0"/>
        </w:rPr>
        <w:t xml:space="preserve">ToS Analysis &amp; Dark Pattern Detection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 Self-Generated/AI-Generated/Both -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Description ( include  AI tools/platform Used, prompt used , Output Summary, Modification) -AI tools used: ChatGPT/Gemini. Prompt used: Instructions to act as a legal analyst and extract manipulative clauses into strict JSON. Output Summary: Base API connection and JSON parsing logic. Modification: Manually implemented the dual-model routing (8b for pre-filter, 70b for deep analysis) and 512-token chunking logic.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Feature Name-RAG Community Intelligence Flywheel (ChromaDB)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 Self-Generated/AI-Generated/Both-Self-Generated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Description (include  AI tools/platform Used, prompt used , Output Summary, Modification)  -AI tools used: None. Prompt used: N/A. Output Summary: Developed the vector storage pipeline using ChromaDB and local @xenova/transformers embeddings from scratch. Modification: Implemented the custom &lt; 0.75 cosine similarity threshold logic manually to flag "novel patterns" and queue them for academic cross-referencing without AI assistance.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 of Team Representative: Anirudha Mohanty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Role:</w:t>
      </w:r>
      <w:r w:rsidDel="00000000" w:rsidR="00000000" w:rsidRPr="00000000">
        <w:rPr>
          <w:b w:val="1"/>
          <w:bCs w:val="1"/>
          <w:rtl w:val="0"/>
        </w:rPr>
        <w:t xml:space="preserve"> Lead Software Architect / 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Signature: Anirudha Mohanty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</w:t>
      </w:r>
      <w:r w:rsidDel="00000000" w:rsidR="00000000" w:rsidRPr="00000000">
        <w:rPr>
          <w:b w:val="1"/>
          <w:bCs w:val="1"/>
          <w:rtl w:val="0"/>
        </w:rPr>
        <w:t xml:space="preserve"> May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