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Insurance Fraud Detection – Assignment Report</w:t>
      </w:r>
    </w:p>
    <w:p>
      <w:pPr>
        <w:pStyle w:val="Heading1"/>
      </w:pPr>
      <w:r>
        <w:t>1. Problem Statement</w:t>
      </w:r>
    </w:p>
    <w:p>
      <w:r>
        <w:t>Insurance companies process thousands of claims every year. A portion of these claims are fraudulent, which leads to financial losses and inefficient use of investigation resources. Global Insure aims to use historical claims data to detect patterns that differentiate fraudulent claims from legitimate ones and build a predictive model that can flag high‑risk claims early in the process.</w:t>
      </w:r>
    </w:p>
    <w:p>
      <w:pPr>
        <w:pStyle w:val="Heading1"/>
      </w:pPr>
      <w:r>
        <w:t>2. Objective</w:t>
      </w:r>
    </w:p>
    <w:p>
      <w:r>
        <w:t>The objective of this project is to develop a predictive model that classifies insurance claims as fraudulent or legitimate based on customer details, policy information, incident characteristics, and claim amounts.</w:t>
      </w:r>
    </w:p>
    <w:p>
      <w:pPr>
        <w:pStyle w:val="Heading1"/>
      </w:pPr>
      <w:r>
        <w:t>3. Dataset Description</w:t>
      </w:r>
    </w:p>
    <w:p>
      <w:r>
        <w:t>The dataset contains information about insurance claims including customer details, policy information, incident specifics, claim amounts, vehicle details and whether the claim was reported as fraud. The dataset contains around 1000 records and approximately 40 features.</w:t>
      </w:r>
    </w:p>
    <w:p>
      <w:pPr>
        <w:pStyle w:val="Heading1"/>
      </w:pPr>
      <w:r>
        <w:t>4. Data Preparation</w:t>
      </w:r>
    </w:p>
    <w:p>
      <w:r>
        <w:t>The dataset was loaded using pandas. Basic exploration was performed to understand the structure of the dataset including number of rows, columns, data types and statistical summary.</w:t>
      </w:r>
    </w:p>
    <w:p>
      <w:pPr>
        <w:pStyle w:val="Heading1"/>
      </w:pPr>
      <w:r>
        <w:t>5. Data Cleaning</w:t>
      </w:r>
    </w:p>
    <w:p>
      <w:r>
        <w:t>Missing values represented by '?' were replaced with NaN and handled appropriately. Forward filling was used where suitable. Redundant columns such as identifiers and completely empty columns (for example _c39) were removed. Date columns were converted to datetime format to ensure proper processing.</w:t>
      </w:r>
    </w:p>
    <w:p>
      <w:pPr>
        <w:pStyle w:val="Heading1"/>
      </w:pPr>
      <w:r>
        <w:t>6. Exploratory Data Analysis</w:t>
      </w:r>
    </w:p>
    <w:p>
      <w:r>
        <w:t>Univariate analysis was performed to understand distributions of important variables such as age and total claim amount. Correlation analysis was conducted to identify relationships between numeric variables. Bivariate analysis helped compare features like incident severity and claim amounts against fraud status.</w:t>
      </w:r>
    </w:p>
    <w:p>
      <w:pPr>
        <w:pStyle w:val="Heading1"/>
      </w:pPr>
      <w:r>
        <w:t>7. Feature Engineering</w:t>
      </w:r>
    </w:p>
    <w:p>
      <w:r>
        <w:t>Categorical variables were converted into dummy variables using one‑hot encoding. Numeric variables were scaled using StandardScaler for algorithms such as Logistic Regression. The dataset was split into training and validation sets in a 70‑30 ratio.</w:t>
      </w:r>
    </w:p>
    <w:p>
      <w:pPr>
        <w:pStyle w:val="Heading1"/>
      </w:pPr>
      <w:r>
        <w:t>8. Model Building</w:t>
      </w:r>
    </w:p>
    <w:p>
      <w:r>
        <w:t>Two machine learning models were built: Logistic Regression and Random Forest. Logistic Regression was trained on scaled data while Random Forest was trained on the original feature set. Random Forest also used class balancing to address the imbalance between fraud and non‑fraud cases.</w:t>
      </w:r>
    </w:p>
    <w:p>
      <w:pPr>
        <w:pStyle w:val="Heading1"/>
      </w:pPr>
      <w:r>
        <w:t>9. Model Evaluation</w:t>
      </w:r>
    </w:p>
    <w:p>
      <w:r>
        <w:t>The models were evaluated using confusion matrix, classification report and ROC‑AUC score. These metrics helped assess the ability of the model to correctly identify fraudulent claims.</w:t>
      </w:r>
    </w:p>
    <w:p>
      <w:pPr>
        <w:pStyle w:val="Heading1"/>
      </w:pPr>
      <w:r>
        <w:t>10. Key Insights</w:t>
      </w:r>
    </w:p>
    <w:p>
      <w:r>
        <w:t>• Certain claim characteristics such as higher claim amounts and severe incidents are more likely to be associated with fraudulent claims.</w:t>
        <w:br/>
        <w:t>• Class imbalance is present in the dataset, requiring balancing techniques.</w:t>
        <w:br/>
        <w:t>• Random Forest generally performs better due to its ability to capture complex patterns.</w:t>
      </w:r>
    </w:p>
    <w:p>
      <w:pPr>
        <w:pStyle w:val="Heading1"/>
      </w:pPr>
      <w:r>
        <w:t>11. Business Recommendations</w:t>
      </w:r>
    </w:p>
    <w:p>
      <w:r>
        <w:t>• Use the trained model to flag high‑risk claims for further investigation.</w:t>
        <w:br/>
        <w:t>• Prioritize manual review for claims predicted as fraudulent.</w:t>
        <w:br/>
        <w:t>• Continuously retrain the model with new claim data to improve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