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Calibri" w:hAnsi="Calibri"/>
          <w:b/>
          <w:color w:val="1A1A2E"/>
          <w:sz w:val="72"/>
        </w:rPr>
        <w:t>CHARGEBOTIC</w:t>
      </w:r>
    </w:p>
    <w:p>
      <w:pPr>
        <w:spacing w:after="120"/>
        <w:jc w:val="center"/>
      </w:pPr>
      <w:r>
        <w:rPr>
          <w:rFonts w:ascii="Calibri" w:hAnsi="Calibri"/>
          <w:b/>
          <w:color w:val="D47E0F"/>
          <w:sz w:val="36"/>
        </w:rPr>
        <w:t>Defense Market Research — Full Report</w:t>
      </w:r>
    </w:p>
    <w:p>
      <w:pPr>
        <w:spacing w:after="40"/>
        <w:jc w:val="center"/>
      </w:pPr>
      <w:r>
        <w:rPr>
          <w:rFonts w:ascii="Calibri" w:hAnsi="Calibri"/>
          <w:i/>
          <w:color w:val="555555"/>
          <w:sz w:val="24"/>
        </w:rPr>
        <w:t>Tethered Powerline Drone · Battlefield Energy Delivery</w:t>
      </w:r>
    </w:p>
    <w:p>
      <w:pPr>
        <w:spacing w:after="1200"/>
        <w:jc w:val="center"/>
        <w:pBdr>
          <w:bottom w:val="single" w:sz="12" w:space="1" w:color="D4810F"/>
        </w:pBdr>
      </w:pPr>
      <w:r>
        <w:rPr>
          <w:rFonts w:ascii="Calibri" w:hAnsi="Calibri"/>
          <w:color w:val="555555"/>
          <w:sz w:val="20"/>
        </w:rPr>
        <w:t>June 2026  ·  Confidential  ·  Defense Segment Only</w:t>
      </w:r>
    </w:p>
    <w:p>
      <w:pPr>
        <w:spacing w:before="400" w:after="120"/>
        <w:jc w:val="center"/>
      </w:pPr>
      <w:r>
        <w:rPr>
          <w:rFonts w:ascii="Calibri" w:hAnsi="Calibri"/>
          <w:b/>
          <w:color w:val="D47E0F"/>
          <w:sz w:val="22"/>
        </w:rPr>
        <w:t>KEY FIGURES AT A GLANCE</w:t>
      </w:r>
    </w:p>
    <w:tbl>
      <w:tblPr>
        <w:tblStyle w:val="TableGrid"/>
        <w:tblW w:type="auto" w:w="0"/>
        <w:jc w:val="center"/>
        <w:tblLook w:firstColumn="1" w:firstRow="1" w:lastColumn="0" w:lastRow="0" w:noHBand="0" w:noVBand="1" w:val="04A0"/>
      </w:tblPr>
      <w:tblGrid>
        <w:gridCol w:w="3024"/>
        <w:gridCol w:w="3024"/>
        <w:gridCol w:w="3024"/>
      </w:tblGrid>
      <w:tr>
        <w:tc>
          <w:tcPr>
            <w:tcW w:type="dxa" w:w="3600"/>
            <w:shd w:val="clear" w:color="auto" w:fill="1A2E1A"/>
            <w:vAlign w:val="center"/>
          </w:tcPr>
          <w:p>
            <w:pPr>
              <w:jc w:val="left"/>
            </w:pPr>
            <w:r>
              <w:rPr>
                <w:rFonts w:ascii="Calibri" w:hAnsi="Calibri"/>
                <w:b/>
                <w:color w:val="FFFFFF"/>
                <w:sz w:val="18"/>
              </w:rPr>
              <w:t>METRIC</w:t>
            </w:r>
          </w:p>
        </w:tc>
        <w:tc>
          <w:tcPr>
            <w:tcW w:type="dxa" w:w="2592"/>
            <w:shd w:val="clear" w:color="auto" w:fill="1A2E1A"/>
            <w:vAlign w:val="center"/>
          </w:tcPr>
          <w:p>
            <w:pPr>
              <w:jc w:val="left"/>
            </w:pPr>
            <w:r>
              <w:rPr>
                <w:rFonts w:ascii="Calibri" w:hAnsi="Calibri"/>
                <w:b/>
                <w:color w:val="FFFFFF"/>
                <w:sz w:val="18"/>
              </w:rPr>
              <w:t>FIGURE</w:t>
            </w:r>
          </w:p>
        </w:tc>
        <w:tc>
          <w:tcPr>
            <w:tcW w:type="dxa" w:w="5040"/>
            <w:shd w:val="clear" w:color="auto" w:fill="1A2E1A"/>
            <w:vAlign w:val="center"/>
          </w:tcPr>
          <w:p>
            <w:pPr>
              <w:jc w:val="left"/>
            </w:pPr>
            <w:r>
              <w:rPr>
                <w:rFonts w:ascii="Calibri" w:hAnsi="Calibri"/>
                <w:b/>
                <w:color w:val="FFFFFF"/>
                <w:sz w:val="18"/>
              </w:rPr>
              <w:t>CONTEXT</w:t>
            </w:r>
          </w:p>
        </w:tc>
      </w:tr>
      <w:tr>
        <w:tc>
          <w:tcPr>
            <w:tcW w:type="dxa" w:w="3600"/>
            <w:vAlign w:val="center"/>
          </w:tcPr>
          <w:p>
            <w:pPr>
              <w:jc w:val="left"/>
            </w:pPr>
            <w:r>
              <w:rPr>
                <w:rFonts w:ascii="Calibri" w:hAnsi="Calibri"/>
                <w:color w:val="0A0A0A"/>
                <w:sz w:val="19"/>
              </w:rPr>
              <w:t>DoD Annual Energy Spend</w:t>
            </w:r>
          </w:p>
        </w:tc>
        <w:tc>
          <w:tcPr>
            <w:tcW w:type="dxa" w:w="2592"/>
            <w:vAlign w:val="center"/>
          </w:tcPr>
          <w:p>
            <w:pPr>
              <w:jc w:val="left"/>
            </w:pPr>
            <w:r>
              <w:rPr>
                <w:rFonts w:ascii="Calibri" w:hAnsi="Calibri"/>
                <w:color w:val="0A0A0A"/>
                <w:sz w:val="19"/>
              </w:rPr>
              <w:t>$20B+/year</w:t>
            </w:r>
          </w:p>
        </w:tc>
        <w:tc>
          <w:tcPr>
            <w:tcW w:type="dxa" w:w="5040"/>
            <w:vAlign w:val="center"/>
          </w:tcPr>
          <w:p>
            <w:pPr>
              <w:jc w:val="left"/>
            </w:pPr>
            <w:r>
              <w:rPr>
                <w:rFonts w:ascii="Calibri" w:hAnsi="Calibri"/>
                <w:color w:val="0A0A0A"/>
                <w:sz w:val="19"/>
              </w:rPr>
              <w:t>Fuel + electricity across all installations</w:t>
            </w:r>
          </w:p>
        </w:tc>
      </w:tr>
      <w:tr>
        <w:tc>
          <w:tcPr>
            <w:tcW w:type="dxa" w:w="3600"/>
            <w:shd w:val="clear" w:color="auto" w:fill="F0F4F0"/>
            <w:vAlign w:val="center"/>
          </w:tcPr>
          <w:p>
            <w:pPr>
              <w:jc w:val="left"/>
            </w:pPr>
            <w:r>
              <w:rPr>
                <w:rFonts w:ascii="Calibri" w:hAnsi="Calibri"/>
                <w:color w:val="0A0A0A"/>
                <w:sz w:val="19"/>
              </w:rPr>
              <w:t>Fully Burdened Fuel Cost</w:t>
            </w:r>
          </w:p>
        </w:tc>
        <w:tc>
          <w:tcPr>
            <w:tcW w:type="dxa" w:w="2592"/>
            <w:shd w:val="clear" w:color="auto" w:fill="F0F4F0"/>
            <w:vAlign w:val="center"/>
          </w:tcPr>
          <w:p>
            <w:pPr>
              <w:jc w:val="left"/>
            </w:pPr>
            <w:r>
              <w:rPr>
                <w:rFonts w:ascii="Calibri" w:hAnsi="Calibri"/>
                <w:color w:val="0A0A0A"/>
                <w:sz w:val="19"/>
              </w:rPr>
              <w:t>$400/gallon</w:t>
            </w:r>
          </w:p>
        </w:tc>
        <w:tc>
          <w:tcPr>
            <w:tcW w:type="dxa" w:w="5040"/>
            <w:shd w:val="clear" w:color="auto" w:fill="F0F4F0"/>
            <w:vAlign w:val="center"/>
          </w:tcPr>
          <w:p>
            <w:pPr>
              <w:jc w:val="left"/>
            </w:pPr>
            <w:r>
              <w:rPr>
                <w:rFonts w:ascii="Calibri" w:hAnsi="Calibri"/>
                <w:color w:val="0A0A0A"/>
                <w:sz w:val="19"/>
              </w:rPr>
              <w:t>At a remote forward operating base (vs. $3 pump)</w:t>
            </w:r>
          </w:p>
        </w:tc>
      </w:tr>
      <w:tr>
        <w:tc>
          <w:tcPr>
            <w:tcW w:type="dxa" w:w="3600"/>
            <w:vAlign w:val="center"/>
          </w:tcPr>
          <w:p>
            <w:pPr>
              <w:jc w:val="left"/>
            </w:pPr>
            <w:r>
              <w:rPr>
                <w:rFonts w:ascii="Calibri" w:hAnsi="Calibri"/>
                <w:color w:val="0A0A0A"/>
                <w:sz w:val="19"/>
              </w:rPr>
              <w:t>Military Power Market (TAM)</w:t>
            </w:r>
          </w:p>
        </w:tc>
        <w:tc>
          <w:tcPr>
            <w:tcW w:type="dxa" w:w="2592"/>
            <w:vAlign w:val="center"/>
          </w:tcPr>
          <w:p>
            <w:pPr>
              <w:jc w:val="left"/>
            </w:pPr>
            <w:r>
              <w:rPr>
                <w:rFonts w:ascii="Calibri" w:hAnsi="Calibri"/>
                <w:color w:val="0A0A0A"/>
                <w:sz w:val="19"/>
              </w:rPr>
              <w:t>$7.7B–$10.8B</w:t>
            </w:r>
          </w:p>
        </w:tc>
        <w:tc>
          <w:tcPr>
            <w:tcW w:type="dxa" w:w="5040"/>
            <w:vAlign w:val="center"/>
          </w:tcPr>
          <w:p>
            <w:pPr>
              <w:jc w:val="left"/>
            </w:pPr>
            <w:r>
              <w:rPr>
                <w:rFonts w:ascii="Calibri" w:hAnsi="Calibri"/>
                <w:color w:val="0A0A0A"/>
                <w:sz w:val="19"/>
              </w:rPr>
              <w:t>2024; growing at 8.5–19% CAGR</w:t>
            </w:r>
          </w:p>
        </w:tc>
      </w:tr>
      <w:tr>
        <w:tc>
          <w:tcPr>
            <w:tcW w:type="dxa" w:w="3600"/>
            <w:shd w:val="clear" w:color="auto" w:fill="F0F4F0"/>
            <w:vAlign w:val="center"/>
          </w:tcPr>
          <w:p>
            <w:pPr>
              <w:jc w:val="left"/>
            </w:pPr>
            <w:r>
              <w:rPr>
                <w:rFonts w:ascii="Calibri" w:hAnsi="Calibri"/>
                <w:color w:val="0A0A0A"/>
                <w:sz w:val="19"/>
              </w:rPr>
              <w:t>Chargebotic SAM</w:t>
            </w:r>
          </w:p>
        </w:tc>
        <w:tc>
          <w:tcPr>
            <w:tcW w:type="dxa" w:w="2592"/>
            <w:shd w:val="clear" w:color="auto" w:fill="F0F4F0"/>
            <w:vAlign w:val="center"/>
          </w:tcPr>
          <w:p>
            <w:pPr>
              <w:jc w:val="left"/>
            </w:pPr>
            <w:r>
              <w:rPr>
                <w:rFonts w:ascii="Calibri" w:hAnsi="Calibri"/>
                <w:color w:val="0A0A0A"/>
                <w:sz w:val="19"/>
              </w:rPr>
              <w:t>$400M–$800M</w:t>
            </w:r>
          </w:p>
        </w:tc>
        <w:tc>
          <w:tcPr>
            <w:tcW w:type="dxa" w:w="5040"/>
            <w:shd w:val="clear" w:color="auto" w:fill="F0F4F0"/>
            <w:vAlign w:val="center"/>
          </w:tcPr>
          <w:p>
            <w:pPr>
              <w:jc w:val="left"/>
            </w:pPr>
            <w:r>
              <w:rPr>
                <w:rFonts w:ascii="Calibri" w:hAnsi="Calibri"/>
                <w:color w:val="0A0A0A"/>
                <w:sz w:val="19"/>
              </w:rPr>
              <w:t>Deployable off-grid tactical power sub-segment</w:t>
            </w:r>
          </w:p>
        </w:tc>
      </w:tr>
      <w:tr>
        <w:tc>
          <w:tcPr>
            <w:tcW w:type="dxa" w:w="3600"/>
            <w:vAlign w:val="center"/>
          </w:tcPr>
          <w:p>
            <w:pPr>
              <w:jc w:val="left"/>
            </w:pPr>
            <w:r>
              <w:rPr>
                <w:rFonts w:ascii="Calibri" w:hAnsi="Calibri"/>
                <w:color w:val="0A0A0A"/>
                <w:sz w:val="19"/>
              </w:rPr>
              <w:t>US Army BCTs</w:t>
            </w:r>
          </w:p>
        </w:tc>
        <w:tc>
          <w:tcPr>
            <w:tcW w:type="dxa" w:w="2592"/>
            <w:vAlign w:val="center"/>
          </w:tcPr>
          <w:p>
            <w:pPr>
              <w:jc w:val="left"/>
            </w:pPr>
            <w:r>
              <w:rPr>
                <w:rFonts w:ascii="Calibri" w:hAnsi="Calibri"/>
                <w:color w:val="0A0A0A"/>
                <w:sz w:val="19"/>
              </w:rPr>
              <w:t>59 total</w:t>
            </w:r>
          </w:p>
        </w:tc>
        <w:tc>
          <w:tcPr>
            <w:tcW w:type="dxa" w:w="5040"/>
            <w:vAlign w:val="center"/>
          </w:tcPr>
          <w:p>
            <w:pPr>
              <w:jc w:val="left"/>
            </w:pPr>
            <w:r>
              <w:rPr>
                <w:rFonts w:ascii="Calibri" w:hAnsi="Calibri"/>
                <w:color w:val="0A0A0A"/>
                <w:sz w:val="19"/>
              </w:rPr>
              <w:t>32 active-duty + 27 National Guard</w:t>
            </w:r>
          </w:p>
        </w:tc>
      </w:tr>
      <w:tr>
        <w:tc>
          <w:tcPr>
            <w:tcW w:type="dxa" w:w="3600"/>
            <w:shd w:val="clear" w:color="auto" w:fill="F0F4F0"/>
            <w:vAlign w:val="center"/>
          </w:tcPr>
          <w:p>
            <w:pPr>
              <w:jc w:val="left"/>
            </w:pPr>
            <w:r>
              <w:rPr>
                <w:rFonts w:ascii="Calibri" w:hAnsi="Calibri"/>
                <w:color w:val="0A0A0A"/>
                <w:sz w:val="19"/>
              </w:rPr>
              <w:t>USSOCOM Personnel</w:t>
            </w:r>
          </w:p>
        </w:tc>
        <w:tc>
          <w:tcPr>
            <w:tcW w:type="dxa" w:w="2592"/>
            <w:shd w:val="clear" w:color="auto" w:fill="F0F4F0"/>
            <w:vAlign w:val="center"/>
          </w:tcPr>
          <w:p>
            <w:pPr>
              <w:jc w:val="left"/>
            </w:pPr>
            <w:r>
              <w:rPr>
                <w:rFonts w:ascii="Calibri" w:hAnsi="Calibri"/>
                <w:color w:val="0A0A0A"/>
                <w:sz w:val="19"/>
              </w:rPr>
              <w:t>73,000 SOF</w:t>
            </w:r>
          </w:p>
        </w:tc>
        <w:tc>
          <w:tcPr>
            <w:tcW w:type="dxa" w:w="5040"/>
            <w:shd w:val="clear" w:color="auto" w:fill="F0F4F0"/>
            <w:vAlign w:val="center"/>
          </w:tcPr>
          <w:p>
            <w:pPr>
              <w:jc w:val="left"/>
            </w:pPr>
            <w:r>
              <w:rPr>
                <w:rFonts w:ascii="Calibri" w:hAnsi="Calibri"/>
                <w:color w:val="0A0A0A"/>
                <w:sz w:val="19"/>
              </w:rPr>
              <w:t>Across 80+ countries simultaneously</w:t>
            </w:r>
          </w:p>
        </w:tc>
      </w:tr>
      <w:tr>
        <w:tc>
          <w:tcPr>
            <w:tcW w:type="dxa" w:w="3600"/>
            <w:vAlign w:val="center"/>
          </w:tcPr>
          <w:p>
            <w:pPr>
              <w:jc w:val="left"/>
            </w:pPr>
            <w:r>
              <w:rPr>
                <w:rFonts w:ascii="Calibri" w:hAnsi="Calibri"/>
                <w:color w:val="0A0A0A"/>
                <w:sz w:val="19"/>
              </w:rPr>
              <w:t>Convoy Casualty Rate</w:t>
            </w:r>
          </w:p>
        </w:tc>
        <w:tc>
          <w:tcPr>
            <w:tcW w:type="dxa" w:w="2592"/>
            <w:vAlign w:val="center"/>
          </w:tcPr>
          <w:p>
            <w:pPr>
              <w:jc w:val="left"/>
            </w:pPr>
            <w:r>
              <w:rPr>
                <w:rFonts w:ascii="Calibri" w:hAnsi="Calibri"/>
                <w:color w:val="0A0A0A"/>
                <w:sz w:val="19"/>
              </w:rPr>
              <w:t>1 per 24 convoys</w:t>
            </w:r>
          </w:p>
        </w:tc>
        <w:tc>
          <w:tcPr>
            <w:tcW w:type="dxa" w:w="5040"/>
            <w:vAlign w:val="center"/>
          </w:tcPr>
          <w:p>
            <w:pPr>
              <w:jc w:val="left"/>
            </w:pPr>
            <w:r>
              <w:rPr>
                <w:rFonts w:ascii="Calibri" w:hAnsi="Calibri"/>
                <w:color w:val="0A0A0A"/>
                <w:sz w:val="19"/>
              </w:rPr>
              <w:t>Afghanistan fuel resupply data</w:t>
            </w:r>
          </w:p>
        </w:tc>
      </w:tr>
      <w:tr>
        <w:tc>
          <w:tcPr>
            <w:tcW w:type="dxa" w:w="3600"/>
            <w:shd w:val="clear" w:color="auto" w:fill="F0F4F0"/>
            <w:vAlign w:val="center"/>
          </w:tcPr>
          <w:p>
            <w:pPr>
              <w:jc w:val="left"/>
            </w:pPr>
            <w:r>
              <w:rPr>
                <w:rFonts w:ascii="Calibri" w:hAnsi="Calibri"/>
                <w:color w:val="0A0A0A"/>
                <w:sz w:val="19"/>
              </w:rPr>
              <w:t>Direct Competitors</w:t>
            </w:r>
          </w:p>
        </w:tc>
        <w:tc>
          <w:tcPr>
            <w:tcW w:type="dxa" w:w="2592"/>
            <w:shd w:val="clear" w:color="auto" w:fill="F0F4F0"/>
            <w:vAlign w:val="center"/>
          </w:tcPr>
          <w:p>
            <w:pPr>
              <w:jc w:val="left"/>
            </w:pPr>
            <w:r>
              <w:rPr>
                <w:rFonts w:ascii="Calibri" w:hAnsi="Calibri"/>
                <w:color w:val="0A0A0A"/>
                <w:sz w:val="19"/>
              </w:rPr>
              <w:t>0</w:t>
            </w:r>
          </w:p>
        </w:tc>
        <w:tc>
          <w:tcPr>
            <w:tcW w:type="dxa" w:w="5040"/>
            <w:shd w:val="clear" w:color="auto" w:fill="F0F4F0"/>
            <w:vAlign w:val="center"/>
          </w:tcPr>
          <w:p>
            <w:pPr>
              <w:jc w:val="left"/>
            </w:pPr>
            <w:r>
              <w:rPr>
                <w:rFonts w:ascii="Calibri" w:hAnsi="Calibri"/>
                <w:color w:val="0A0A0A"/>
                <w:sz w:val="19"/>
              </w:rPr>
              <w:t>No equivalent product exists today</w:t>
            </w:r>
          </w:p>
        </w:tc>
      </w:tr>
      <w:tr>
        <w:tc>
          <w:tcPr>
            <w:tcW w:type="dxa" w:w="3600"/>
            <w:vAlign w:val="center"/>
          </w:tcPr>
          <w:p>
            <w:pPr>
              <w:jc w:val="left"/>
            </w:pPr>
            <w:r>
              <w:rPr>
                <w:rFonts w:ascii="Calibri" w:hAnsi="Calibri"/>
                <w:color w:val="0A0A0A"/>
                <w:sz w:val="19"/>
              </w:rPr>
              <w:t>Top B2B2G Partner</w:t>
            </w:r>
          </w:p>
        </w:tc>
        <w:tc>
          <w:tcPr>
            <w:tcW w:type="dxa" w:w="2592"/>
            <w:vAlign w:val="center"/>
          </w:tcPr>
          <w:p>
            <w:pPr>
              <w:jc w:val="left"/>
            </w:pPr>
            <w:r>
              <w:rPr>
                <w:rFonts w:ascii="Calibri" w:hAnsi="Calibri"/>
                <w:color w:val="0A0A0A"/>
                <w:sz w:val="19"/>
              </w:rPr>
              <w:t>Chariot Defense</w:t>
            </w:r>
          </w:p>
        </w:tc>
        <w:tc>
          <w:tcPr>
            <w:tcW w:type="dxa" w:w="5040"/>
            <w:vAlign w:val="center"/>
          </w:tcPr>
          <w:p>
            <w:pPr>
              <w:jc w:val="left"/>
            </w:pPr>
            <w:r>
              <w:rPr>
                <w:rFonts w:ascii="Calibri" w:hAnsi="Calibri"/>
                <w:color w:val="0A0A0A"/>
                <w:sz w:val="19"/>
              </w:rPr>
              <w:t>$41M funded by a16z — distributes power, needs our source</w:t>
            </w:r>
          </w:p>
        </w:tc>
      </w:tr>
    </w:tbl>
    <w:p/>
    <w:p>
      <w:r>
        <w:br w:type="page"/>
      </w:r>
    </w:p>
    <w:p>
      <w:pPr>
        <w:spacing w:before="360" w:after="80"/>
        <w:pBdr>
          <w:bottom w:val="single" w:sz="8" w:space="1" w:color="D4810F"/>
        </w:pBdr>
      </w:pPr>
      <w:r>
        <w:rPr>
          <w:rFonts w:ascii="Calibri" w:hAnsi="Calibri"/>
          <w:b/>
          <w:color w:val="D47E0F"/>
          <w:sz w:val="30"/>
        </w:rPr>
        <w:t>1. THE PROBLEM — WHY THE MILITARY NEEDS THIS</w:t>
      </w:r>
    </w:p>
    <w:p>
      <w:pPr>
        <w:spacing w:after="120"/>
      </w:pPr>
      <w:r>
        <w:rPr>
          <w:rFonts w:ascii="Calibri" w:hAnsi="Calibri"/>
          <w:color w:val="0A0A0A"/>
          <w:sz w:val="21"/>
        </w:rPr>
        <w:t>The United States military has a well-documented and critical energy logistics problem. Diesel generators dominate power at forward operating bases (FOBs). Every gallon of diesel requires a supply convoy. Every convoy is a target. The cost — financial and human — is enormous.</w:t>
      </w:r>
    </w:p>
    <w:p>
      <w:pPr>
        <w:spacing w:before="240" w:after="60"/>
      </w:pPr>
      <w:r>
        <w:rPr>
          <w:rFonts w:ascii="Calibri" w:hAnsi="Calibri"/>
          <w:b/>
          <w:color w:val="1A1A2E"/>
          <w:sz w:val="24"/>
        </w:rPr>
        <w:t>1.1 The Financial Cost of Military Energy</w:t>
      </w:r>
    </w:p>
    <w:p>
      <w:pPr>
        <w:pStyle w:val="ListBullet"/>
        <w:spacing w:after="60"/>
        <w:ind w:left="432"/>
      </w:pPr>
      <w:r>
        <w:rPr>
          <w:rFonts w:ascii="Calibri" w:hAnsi="Calibri"/>
          <w:b/>
          <w:color w:val="C0392B"/>
          <w:sz w:val="21"/>
        </w:rPr>
        <w:t>$20B+ per year</w:t>
      </w:r>
    </w:p>
    <w:p>
      <w:pPr>
        <w:spacing w:after="40"/>
      </w:pPr>
      <w:r>
        <w:rPr>
          <w:rFonts w:ascii="Calibri" w:hAnsi="Calibri"/>
          <w:color w:val="0A0A0A"/>
          <w:sz w:val="21"/>
        </w:rPr>
        <w:t xml:space="preserve">    The US Department of Defense is the single largest institutional energy consumer on the planet, spending over $20 billion per year on fuel and electricity to power everything from fighter jets to forward operating bases.</w:t>
      </w:r>
    </w:p>
    <w:p>
      <w:pPr>
        <w:pStyle w:val="ListBullet"/>
        <w:spacing w:after="60"/>
        <w:ind w:left="432"/>
      </w:pPr>
      <w:r>
        <w:rPr>
          <w:rFonts w:ascii="Calibri" w:hAnsi="Calibri"/>
          <w:b/>
          <w:color w:val="C0392B"/>
          <w:sz w:val="21"/>
        </w:rPr>
        <w:t>$400 per gallon (fully burdened)</w:t>
      </w:r>
    </w:p>
    <w:p>
      <w:pPr>
        <w:spacing w:after="40"/>
      </w:pPr>
      <w:r>
        <w:rPr>
          <w:rFonts w:ascii="Calibri" w:hAnsi="Calibri"/>
          <w:color w:val="0A0A0A"/>
          <w:sz w:val="21"/>
        </w:rPr>
        <w:t xml:space="preserve">    Fuel that costs ~$3/gallon at the pump can reach $400/gallon when fully burdened — accounting for transportation through hostile or remote terrain (e.g., convoyed through Pakistan, over the Hindu Kush, or across the Amu Darya river to forward bases).</w:t>
      </w:r>
    </w:p>
    <w:p>
      <w:pPr>
        <w:pStyle w:val="ListBullet"/>
        <w:spacing w:after="60"/>
        <w:ind w:left="432"/>
      </w:pPr>
      <w:r>
        <w:rPr>
          <w:rFonts w:ascii="Calibri" w:hAnsi="Calibri"/>
          <w:b/>
          <w:color w:val="C0392B"/>
          <w:sz w:val="21"/>
        </w:rPr>
        <w:t>$20.2B/year on air conditioning alone</w:t>
      </w:r>
    </w:p>
    <w:p>
      <w:pPr>
        <w:spacing w:after="40"/>
      </w:pPr>
      <w:r>
        <w:rPr>
          <w:rFonts w:ascii="Calibri" w:hAnsi="Calibri"/>
          <w:color w:val="0A0A0A"/>
          <w:sz w:val="21"/>
        </w:rPr>
        <w:t xml:space="preserve">    The US military spent an estimated $20.2 billion annually on air conditioning structures in Iraq and Afghanistan — one of the largest single energy line items at any FOB.</w:t>
      </w:r>
    </w:p>
    <w:p>
      <w:pPr>
        <w:pStyle w:val="ListBullet"/>
        <w:spacing w:after="60"/>
        <w:ind w:left="432"/>
      </w:pPr>
      <w:r>
        <w:rPr>
          <w:rFonts w:ascii="Calibri" w:hAnsi="Calibri"/>
          <w:b/>
          <w:color w:val="D47E0F"/>
          <w:sz w:val="21"/>
        </w:rPr>
        <w:t>68M gallons/month in theater</w:t>
      </w:r>
    </w:p>
    <w:p>
      <w:pPr>
        <w:spacing w:after="40"/>
      </w:pPr>
      <w:r>
        <w:rPr>
          <w:rFonts w:ascii="Calibri" w:hAnsi="Calibri"/>
          <w:color w:val="0A0A0A"/>
          <w:sz w:val="21"/>
        </w:rPr>
        <w:t xml:space="preserve">    In 2008, DoD supplied an average of 68 million gallons of fuel per month to support US military forces in Iraq and Afghanistan. A single large Army division can consume up to 6,000 gallons of fuel per day.</w:t>
      </w:r>
    </w:p>
    <w:p>
      <w:pPr>
        <w:spacing w:before="240" w:after="60"/>
      </w:pPr>
      <w:r>
        <w:rPr>
          <w:rFonts w:ascii="Calibri" w:hAnsi="Calibri"/>
          <w:b/>
          <w:color w:val="1A1A2E"/>
          <w:sz w:val="24"/>
        </w:rPr>
        <w:t>1.2 The Human Cost of Fuel Logistics</w:t>
      </w:r>
    </w:p>
    <w:p>
      <w:pPr>
        <w:pStyle w:val="ListBullet"/>
        <w:spacing w:after="60"/>
        <w:ind w:left="432"/>
      </w:pPr>
      <w:r>
        <w:rPr>
          <w:rFonts w:ascii="Calibri" w:hAnsi="Calibri"/>
          <w:b/>
          <w:color w:val="C0392B"/>
          <w:sz w:val="21"/>
        </w:rPr>
        <w:t>1 casualty per 24 fuel convoys</w:t>
      </w:r>
    </w:p>
    <w:p>
      <w:pPr>
        <w:spacing w:after="40"/>
      </w:pPr>
      <w:r>
        <w:rPr>
          <w:rFonts w:ascii="Calibri" w:hAnsi="Calibri"/>
          <w:color w:val="0A0A0A"/>
          <w:sz w:val="21"/>
        </w:rPr>
        <w:t xml:space="preserve">    The casualty factor for fuel resupply in Afghanistan was 0.042 — meaning nearly one casualty for every 24 fuel resupply convoys.</w:t>
      </w:r>
    </w:p>
    <w:p>
      <w:pPr>
        <w:pStyle w:val="ListBullet"/>
        <w:spacing w:after="60"/>
        <w:ind w:left="432"/>
      </w:pPr>
      <w:r>
        <w:rPr>
          <w:rFonts w:ascii="Calibri" w:hAnsi="Calibri"/>
          <w:b/>
          <w:color w:val="C0392B"/>
          <w:sz w:val="21"/>
        </w:rPr>
        <w:t>50%+ of convoy casualties tied to fuel</w:t>
      </w:r>
    </w:p>
    <w:p>
      <w:pPr>
        <w:spacing w:after="40"/>
      </w:pPr>
      <w:r>
        <w:rPr>
          <w:rFonts w:ascii="Calibri" w:hAnsi="Calibri"/>
          <w:color w:val="0A0A0A"/>
          <w:sz w:val="21"/>
        </w:rPr>
        <w:t xml:space="preserve">    Attacks on fuel convoys accounted for more than 50% of casualties in Afghanistan and 30% in Iraq during 2009. Fuel is described by analysts as America's biggest battlefield vulnerability.</w:t>
      </w:r>
    </w:p>
    <w:p>
      <w:pPr>
        <w:pStyle w:val="ListBullet"/>
        <w:spacing w:after="60"/>
        <w:ind w:left="432"/>
      </w:pPr>
      <w:r>
        <w:rPr>
          <w:rFonts w:ascii="Calibri" w:hAnsi="Calibri"/>
          <w:b/>
          <w:color w:val="D47E0F"/>
          <w:sz w:val="21"/>
        </w:rPr>
        <w:t>70–80% of convoy weight is fuel and water</w:t>
      </w:r>
    </w:p>
    <w:p>
      <w:pPr>
        <w:spacing w:after="40"/>
      </w:pPr>
      <w:r>
        <w:rPr>
          <w:rFonts w:ascii="Calibri" w:hAnsi="Calibri"/>
          <w:color w:val="0A0A0A"/>
          <w:sz w:val="21"/>
        </w:rPr>
        <w:t xml:space="preserve">    This weight crowds out ammunition, food, and medical supplies. Energy logistics directly degrades combat effectiveness.</w:t>
      </w:r>
    </w:p>
    <w:p>
      <w:pPr>
        <w:spacing w:before="240" w:after="60"/>
      </w:pPr>
      <w:r>
        <w:rPr>
          <w:rFonts w:ascii="Calibri" w:hAnsi="Calibri"/>
          <w:b/>
          <w:color w:val="1A1A2E"/>
          <w:sz w:val="24"/>
        </w:rPr>
        <w:t>1.3 Why Existing Solutions Are Insufficient</w:t>
      </w:r>
    </w:p>
    <w:p>
      <w:pPr>
        <w:spacing w:after="120"/>
      </w:pPr>
      <w:r>
        <w:rPr>
          <w:rFonts w:ascii="Calibri" w:hAnsi="Calibri"/>
          <w:color w:val="0A0A0A"/>
          <w:sz w:val="21"/>
        </w:rPr>
        <w:t>Current solutions reduce fuel consumption but do not eliminate the logistics problem. Hybrid solar-battery systems reduce generator diesel consumption by 30–50% in optimal conditions — but remain weather-dependent, require significant setup time, and still require diesel as backup. Chargebotic eliminates the fuel dependency entirely for any location near existing power line infrastructure, delivering continuous, weather-independent, infrastructure-tapped energy.</w:t>
      </w:r>
    </w:p>
    <w:p>
      <w:pPr>
        <w:spacing w:before="120" w:after="120"/>
        <w:ind w:left="432" w:right="432"/>
        <w:pBdr>
          <w:top w:val="single" w:sz="12" w:space="4" w:color="D4810F"/>
          <w:bottom w:val="single" w:sz="12" w:space="4" w:color="D4810F"/>
          <w:left w:val="single" w:sz="12" w:space="4" w:color="D4810F"/>
          <w:right w:val="single" w:sz="12" w:space="4" w:color="D4810F"/>
        </w:pBdr>
      </w:pPr>
      <w:r>
        <w:rPr>
          <w:rFonts w:ascii="Calibri" w:hAnsi="Calibri"/>
          <w:i/>
          <w:color w:val="0A0A0A"/>
          <w:sz w:val="21"/>
        </w:rPr>
        <w:t>KEY INSIGHT:  Power lines are already deployed near every human settlement, road, military base, and training facility. Chargebotic is the first system that taps this existing infrastructure autonomously — no fuel, no weather dependency, no convoy.</w:t>
      </w:r>
    </w:p>
    <w:p>
      <w:r>
        <w:br w:type="page"/>
      </w:r>
    </w:p>
    <w:p>
      <w:pPr>
        <w:spacing w:before="360" w:after="80"/>
        <w:pBdr>
          <w:bottom w:val="single" w:sz="8" w:space="1" w:color="D4810F"/>
        </w:pBdr>
      </w:pPr>
      <w:r>
        <w:rPr>
          <w:rFonts w:ascii="Calibri" w:hAnsi="Calibri"/>
          <w:b/>
          <w:color w:val="D47E0F"/>
          <w:sz w:val="30"/>
        </w:rPr>
        <w:t>2. MARKET SIZE</w:t>
      </w:r>
    </w:p>
    <w:p>
      <w:pPr>
        <w:spacing w:after="120"/>
      </w:pPr>
      <w:r>
        <w:rPr>
          <w:rFonts w:ascii="Calibri" w:hAnsi="Calibri"/>
          <w:color w:val="0A0A0A"/>
          <w:sz w:val="21"/>
        </w:rPr>
        <w:t>Multiple independent research firms have sized the global military power market between $7.7B and $10.8B in 2024, with projections ranging to $13.6B–$24.9B by 2030–2032. The variance reflects different scope definitions. All sources agree on double-digit CAGR driven by electrification of the battlefield, energy independence mandates, and increasing drone/C4ISR power demand.</w:t>
      </w:r>
    </w:p>
    <w:p>
      <w:pPr>
        <w:spacing w:before="240" w:after="60"/>
      </w:pPr>
      <w:r>
        <w:rPr>
          <w:rFonts w:ascii="Calibri" w:hAnsi="Calibri"/>
          <w:b/>
          <w:color w:val="1A1A2E"/>
          <w:sz w:val="24"/>
        </w:rPr>
        <w:t>2.1 Market Segments and Sizing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456"/>
            <w:shd w:val="clear" w:color="auto" w:fill="1A2E1A"/>
            <w:vAlign w:val="center"/>
          </w:tcPr>
          <w:p>
            <w:pPr>
              <w:jc w:val="left"/>
            </w:pPr>
            <w:r>
              <w:rPr>
                <w:rFonts w:ascii="Calibri" w:hAnsi="Calibri"/>
                <w:b/>
                <w:color w:val="FFFFFF"/>
                <w:sz w:val="18"/>
              </w:rPr>
              <w:t>SEGMENT</w:t>
            </w:r>
          </w:p>
        </w:tc>
        <w:tc>
          <w:tcPr>
            <w:tcW w:type="dxa" w:w="2016"/>
            <w:shd w:val="clear" w:color="auto" w:fill="1A2E1A"/>
            <w:vAlign w:val="center"/>
          </w:tcPr>
          <w:p>
            <w:pPr>
              <w:jc w:val="left"/>
            </w:pPr>
            <w:r>
              <w:rPr>
                <w:rFonts w:ascii="Calibri" w:hAnsi="Calibri"/>
                <w:b/>
                <w:color w:val="FFFFFF"/>
                <w:sz w:val="18"/>
              </w:rPr>
              <w:t>2024 VALUE</w:t>
            </w:r>
          </w:p>
        </w:tc>
        <w:tc>
          <w:tcPr>
            <w:tcW w:type="dxa" w:w="2592"/>
            <w:shd w:val="clear" w:color="auto" w:fill="1A2E1A"/>
            <w:vAlign w:val="center"/>
          </w:tcPr>
          <w:p>
            <w:pPr>
              <w:jc w:val="left"/>
            </w:pPr>
            <w:r>
              <w:rPr>
                <w:rFonts w:ascii="Calibri" w:hAnsi="Calibri"/>
                <w:b/>
                <w:color w:val="FFFFFF"/>
                <w:sz w:val="18"/>
              </w:rPr>
              <w:t>PROJECTION</w:t>
            </w:r>
          </w:p>
        </w:tc>
        <w:tc>
          <w:tcPr>
            <w:tcW w:type="dxa" w:w="1440"/>
            <w:shd w:val="clear" w:color="auto" w:fill="1A2E1A"/>
            <w:vAlign w:val="center"/>
          </w:tcPr>
          <w:p>
            <w:pPr>
              <w:jc w:val="left"/>
            </w:pPr>
            <w:r>
              <w:rPr>
                <w:rFonts w:ascii="Calibri" w:hAnsi="Calibri"/>
                <w:b/>
                <w:color w:val="FFFFFF"/>
                <w:sz w:val="18"/>
              </w:rPr>
              <w:t>CAGR</w:t>
            </w:r>
          </w:p>
        </w:tc>
        <w:tc>
          <w:tcPr>
            <w:tcW w:type="dxa" w:w="2448"/>
            <w:shd w:val="clear" w:color="auto" w:fill="1A2E1A"/>
            <w:vAlign w:val="center"/>
          </w:tcPr>
          <w:p>
            <w:pPr>
              <w:jc w:val="left"/>
            </w:pPr>
            <w:r>
              <w:rPr>
                <w:rFonts w:ascii="Calibri" w:hAnsi="Calibri"/>
                <w:b/>
                <w:color w:val="FFFFFF"/>
                <w:sz w:val="18"/>
              </w:rPr>
              <w:t>SOURCE</w:t>
            </w:r>
          </w:p>
        </w:tc>
      </w:tr>
      <w:tr>
        <w:tc>
          <w:tcPr>
            <w:tcW w:type="dxa" w:w="3456"/>
            <w:vAlign w:val="center"/>
          </w:tcPr>
          <w:p>
            <w:pPr>
              <w:jc w:val="left"/>
            </w:pPr>
            <w:r>
              <w:rPr>
                <w:rFonts w:ascii="Calibri" w:hAnsi="Calibri"/>
                <w:color w:val="0A0A0A"/>
                <w:sz w:val="19"/>
              </w:rPr>
              <w:t>Military Power Solutions (broad TAM)</w:t>
            </w:r>
          </w:p>
        </w:tc>
        <w:tc>
          <w:tcPr>
            <w:tcW w:type="dxa" w:w="2016"/>
            <w:vAlign w:val="center"/>
          </w:tcPr>
          <w:p>
            <w:pPr>
              <w:jc w:val="left"/>
            </w:pPr>
            <w:r>
              <w:rPr>
                <w:rFonts w:ascii="Calibri" w:hAnsi="Calibri"/>
                <w:color w:val="0A0A0A"/>
                <w:sz w:val="19"/>
              </w:rPr>
              <w:t>$7.7B–$10.8B</w:t>
            </w:r>
          </w:p>
        </w:tc>
        <w:tc>
          <w:tcPr>
            <w:tcW w:type="dxa" w:w="2592"/>
            <w:vAlign w:val="center"/>
          </w:tcPr>
          <w:p>
            <w:pPr>
              <w:jc w:val="left"/>
            </w:pPr>
            <w:r>
              <w:rPr>
                <w:rFonts w:ascii="Calibri" w:hAnsi="Calibri"/>
                <w:color w:val="0A0A0A"/>
                <w:sz w:val="19"/>
              </w:rPr>
              <w:t>$13.6B–$24.9B by 2032</w:t>
            </w:r>
          </w:p>
        </w:tc>
        <w:tc>
          <w:tcPr>
            <w:tcW w:type="dxa" w:w="1440"/>
            <w:vAlign w:val="center"/>
          </w:tcPr>
          <w:p>
            <w:pPr>
              <w:jc w:val="left"/>
            </w:pPr>
            <w:r>
              <w:rPr>
                <w:rFonts w:ascii="Calibri" w:hAnsi="Calibri"/>
                <w:color w:val="0A0A0A"/>
                <w:sz w:val="19"/>
              </w:rPr>
              <w:t>8.5–9.7%</w:t>
            </w:r>
          </w:p>
        </w:tc>
        <w:tc>
          <w:tcPr>
            <w:tcW w:type="dxa" w:w="2448"/>
            <w:vAlign w:val="center"/>
          </w:tcPr>
          <w:p>
            <w:pPr>
              <w:jc w:val="left"/>
            </w:pPr>
            <w:r>
              <w:rPr>
                <w:rFonts w:ascii="Calibri" w:hAnsi="Calibri"/>
                <w:color w:val="0A0A0A"/>
                <w:sz w:val="19"/>
              </w:rPr>
              <w:t>Mordor Intelligence / IMARC</w:t>
            </w:r>
          </w:p>
        </w:tc>
      </w:tr>
      <w:tr>
        <w:tc>
          <w:tcPr>
            <w:tcW w:type="dxa" w:w="3456"/>
            <w:shd w:val="clear" w:color="auto" w:fill="F0F4F0"/>
            <w:vAlign w:val="center"/>
          </w:tcPr>
          <w:p>
            <w:pPr>
              <w:jc w:val="left"/>
            </w:pPr>
            <w:r>
              <w:rPr>
                <w:rFonts w:ascii="Calibri" w:hAnsi="Calibri"/>
                <w:color w:val="0A0A0A"/>
                <w:sz w:val="19"/>
              </w:rPr>
              <w:t>Next-Gen Military Power Supply</w:t>
            </w:r>
          </w:p>
        </w:tc>
        <w:tc>
          <w:tcPr>
            <w:tcW w:type="dxa" w:w="2016"/>
            <w:shd w:val="clear" w:color="auto" w:fill="F0F4F0"/>
            <w:vAlign w:val="center"/>
          </w:tcPr>
          <w:p>
            <w:pPr>
              <w:jc w:val="left"/>
            </w:pPr>
            <w:r>
              <w:rPr>
                <w:rFonts w:ascii="Calibri" w:hAnsi="Calibri"/>
                <w:color w:val="0A0A0A"/>
                <w:sz w:val="19"/>
              </w:rPr>
              <w:t>$6.4B</w:t>
            </w:r>
          </w:p>
        </w:tc>
        <w:tc>
          <w:tcPr>
            <w:tcW w:type="dxa" w:w="2592"/>
            <w:shd w:val="clear" w:color="auto" w:fill="F0F4F0"/>
            <w:vAlign w:val="center"/>
          </w:tcPr>
          <w:p>
            <w:pPr>
              <w:jc w:val="left"/>
            </w:pPr>
            <w:r>
              <w:rPr>
                <w:rFonts w:ascii="Calibri" w:hAnsi="Calibri"/>
                <w:color w:val="0A0A0A"/>
                <w:sz w:val="19"/>
              </w:rPr>
              <w:t>$9.5B by 2032</w:t>
            </w:r>
          </w:p>
        </w:tc>
        <w:tc>
          <w:tcPr>
            <w:tcW w:type="dxa" w:w="1440"/>
            <w:shd w:val="clear" w:color="auto" w:fill="F0F4F0"/>
            <w:vAlign w:val="center"/>
          </w:tcPr>
          <w:p>
            <w:pPr>
              <w:jc w:val="left"/>
            </w:pPr>
            <w:r>
              <w:rPr>
                <w:rFonts w:ascii="Calibri" w:hAnsi="Calibri"/>
                <w:color w:val="0A0A0A"/>
                <w:sz w:val="19"/>
              </w:rPr>
              <w:t>5.1%</w:t>
            </w:r>
          </w:p>
        </w:tc>
        <w:tc>
          <w:tcPr>
            <w:tcW w:type="dxa" w:w="2448"/>
            <w:shd w:val="clear" w:color="auto" w:fill="F0F4F0"/>
            <w:vAlign w:val="center"/>
          </w:tcPr>
          <w:p>
            <w:pPr>
              <w:jc w:val="left"/>
            </w:pPr>
            <w:r>
              <w:rPr>
                <w:rFonts w:ascii="Calibri" w:hAnsi="Calibri"/>
                <w:color w:val="0A0A0A"/>
                <w:sz w:val="19"/>
              </w:rPr>
              <w:t>SkyQuestT / GM Insights</w:t>
            </w:r>
          </w:p>
        </w:tc>
      </w:tr>
      <w:tr>
        <w:tc>
          <w:tcPr>
            <w:tcW w:type="dxa" w:w="3456"/>
            <w:vAlign w:val="center"/>
          </w:tcPr>
          <w:p>
            <w:pPr>
              <w:jc w:val="left"/>
            </w:pPr>
            <w:r>
              <w:rPr>
                <w:rFonts w:ascii="Calibri" w:hAnsi="Calibri"/>
                <w:color w:val="0A0A0A"/>
                <w:sz w:val="19"/>
              </w:rPr>
              <w:t>Military Microgrid Market</w:t>
            </w:r>
          </w:p>
        </w:tc>
        <w:tc>
          <w:tcPr>
            <w:tcW w:type="dxa" w:w="2016"/>
            <w:vAlign w:val="center"/>
          </w:tcPr>
          <w:p>
            <w:pPr>
              <w:jc w:val="left"/>
            </w:pPr>
            <w:r>
              <w:rPr>
                <w:rFonts w:ascii="Calibri" w:hAnsi="Calibri"/>
                <w:color w:val="0A0A0A"/>
                <w:sz w:val="19"/>
              </w:rPr>
              <w:t>$2.0B</w:t>
            </w:r>
          </w:p>
        </w:tc>
        <w:tc>
          <w:tcPr>
            <w:tcW w:type="dxa" w:w="2592"/>
            <w:vAlign w:val="center"/>
          </w:tcPr>
          <w:p>
            <w:pPr>
              <w:jc w:val="left"/>
            </w:pPr>
            <w:r>
              <w:rPr>
                <w:rFonts w:ascii="Calibri" w:hAnsi="Calibri"/>
                <w:color w:val="0A0A0A"/>
                <w:sz w:val="19"/>
              </w:rPr>
              <w:t>High growth</w:t>
            </w:r>
          </w:p>
        </w:tc>
        <w:tc>
          <w:tcPr>
            <w:tcW w:type="dxa" w:w="1440"/>
            <w:vAlign w:val="center"/>
          </w:tcPr>
          <w:p>
            <w:pPr>
              <w:jc w:val="left"/>
            </w:pPr>
            <w:r>
              <w:rPr>
                <w:rFonts w:ascii="Calibri" w:hAnsi="Calibri"/>
                <w:color w:val="0A0A0A"/>
                <w:sz w:val="19"/>
              </w:rPr>
              <w:t>19.1%</w:t>
            </w:r>
          </w:p>
        </w:tc>
        <w:tc>
          <w:tcPr>
            <w:tcW w:type="dxa" w:w="2448"/>
            <w:vAlign w:val="center"/>
          </w:tcPr>
          <w:p>
            <w:pPr>
              <w:jc w:val="left"/>
            </w:pPr>
            <w:r>
              <w:rPr>
                <w:rFonts w:ascii="Calibri" w:hAnsi="Calibri"/>
                <w:color w:val="0A0A0A"/>
                <w:sz w:val="19"/>
              </w:rPr>
              <w:t>GM Insights 2024</w:t>
            </w:r>
          </w:p>
        </w:tc>
      </w:tr>
      <w:tr>
        <w:tc>
          <w:tcPr>
            <w:tcW w:type="dxa" w:w="3456"/>
            <w:shd w:val="clear" w:color="auto" w:fill="F0F4F0"/>
            <w:vAlign w:val="center"/>
          </w:tcPr>
          <w:p>
            <w:pPr>
              <w:jc w:val="left"/>
            </w:pPr>
            <w:r>
              <w:rPr>
                <w:rFonts w:ascii="Calibri" w:hAnsi="Calibri"/>
                <w:color w:val="0A0A0A"/>
                <w:sz w:val="19"/>
              </w:rPr>
              <w:t>Military DC Microgrid</w:t>
            </w:r>
          </w:p>
        </w:tc>
        <w:tc>
          <w:tcPr>
            <w:tcW w:type="dxa" w:w="2016"/>
            <w:shd w:val="clear" w:color="auto" w:fill="F0F4F0"/>
            <w:vAlign w:val="center"/>
          </w:tcPr>
          <w:p>
            <w:pPr>
              <w:jc w:val="left"/>
            </w:pPr>
            <w:r>
              <w:rPr>
                <w:rFonts w:ascii="Calibri" w:hAnsi="Calibri"/>
                <w:color w:val="0A0A0A"/>
                <w:sz w:val="19"/>
              </w:rPr>
              <w:t>$700M</w:t>
            </w:r>
          </w:p>
        </w:tc>
        <w:tc>
          <w:tcPr>
            <w:tcW w:type="dxa" w:w="2592"/>
            <w:shd w:val="clear" w:color="auto" w:fill="F0F4F0"/>
            <w:vAlign w:val="center"/>
          </w:tcPr>
          <w:p>
            <w:pPr>
              <w:jc w:val="left"/>
            </w:pPr>
            <w:r>
              <w:rPr>
                <w:rFonts w:ascii="Calibri" w:hAnsi="Calibri"/>
                <w:color w:val="0A0A0A"/>
                <w:sz w:val="19"/>
              </w:rPr>
              <w:t>—</w:t>
            </w:r>
          </w:p>
        </w:tc>
        <w:tc>
          <w:tcPr>
            <w:tcW w:type="dxa" w:w="1440"/>
            <w:shd w:val="clear" w:color="auto" w:fill="F0F4F0"/>
            <w:vAlign w:val="center"/>
          </w:tcPr>
          <w:p>
            <w:pPr>
              <w:jc w:val="left"/>
            </w:pPr>
            <w:r>
              <w:rPr>
                <w:rFonts w:ascii="Calibri" w:hAnsi="Calibri"/>
                <w:color w:val="0A0A0A"/>
                <w:sz w:val="19"/>
              </w:rPr>
              <w:t>High</w:t>
            </w:r>
          </w:p>
        </w:tc>
        <w:tc>
          <w:tcPr>
            <w:tcW w:type="dxa" w:w="2448"/>
            <w:shd w:val="clear" w:color="auto" w:fill="F0F4F0"/>
            <w:vAlign w:val="center"/>
          </w:tcPr>
          <w:p>
            <w:pPr>
              <w:jc w:val="left"/>
            </w:pPr>
            <w:r>
              <w:rPr>
                <w:rFonts w:ascii="Calibri" w:hAnsi="Calibri"/>
                <w:color w:val="0A0A0A"/>
                <w:sz w:val="19"/>
              </w:rPr>
              <w:t>GM Insights 2024</w:t>
            </w:r>
          </w:p>
        </w:tc>
      </w:tr>
      <w:tr>
        <w:tc>
          <w:tcPr>
            <w:tcW w:type="dxa" w:w="3456"/>
            <w:vAlign w:val="center"/>
          </w:tcPr>
          <w:p>
            <w:pPr>
              <w:jc w:val="left"/>
            </w:pPr>
            <w:r>
              <w:rPr>
                <w:rFonts w:ascii="Calibri" w:hAnsi="Calibri"/>
                <w:color w:val="0A0A0A"/>
                <w:sz w:val="19"/>
              </w:rPr>
              <w:t>Power Generator for Military</w:t>
            </w:r>
          </w:p>
        </w:tc>
        <w:tc>
          <w:tcPr>
            <w:tcW w:type="dxa" w:w="2016"/>
            <w:vAlign w:val="center"/>
          </w:tcPr>
          <w:p>
            <w:pPr>
              <w:jc w:val="left"/>
            </w:pPr>
            <w:r>
              <w:rPr>
                <w:rFonts w:ascii="Calibri" w:hAnsi="Calibri"/>
                <w:color w:val="0A0A0A"/>
                <w:sz w:val="19"/>
              </w:rPr>
              <w:t>$1.2B</w:t>
            </w:r>
          </w:p>
        </w:tc>
        <w:tc>
          <w:tcPr>
            <w:tcW w:type="dxa" w:w="2592"/>
            <w:vAlign w:val="center"/>
          </w:tcPr>
          <w:p>
            <w:pPr>
              <w:jc w:val="left"/>
            </w:pPr>
            <w:r>
              <w:rPr>
                <w:rFonts w:ascii="Calibri" w:hAnsi="Calibri"/>
                <w:color w:val="0A0A0A"/>
                <w:sz w:val="19"/>
              </w:rPr>
              <w:t>$1.7B by 2035</w:t>
            </w:r>
          </w:p>
        </w:tc>
        <w:tc>
          <w:tcPr>
            <w:tcW w:type="dxa" w:w="1440"/>
            <w:vAlign w:val="center"/>
          </w:tcPr>
          <w:p>
            <w:pPr>
              <w:jc w:val="left"/>
            </w:pPr>
            <w:r>
              <w:rPr>
                <w:rFonts w:ascii="Calibri" w:hAnsi="Calibri"/>
                <w:color w:val="0A0A0A"/>
                <w:sz w:val="19"/>
              </w:rPr>
              <w:t>3.8%</w:t>
            </w:r>
          </w:p>
        </w:tc>
        <w:tc>
          <w:tcPr>
            <w:tcW w:type="dxa" w:w="2448"/>
            <w:vAlign w:val="center"/>
          </w:tcPr>
          <w:p>
            <w:pPr>
              <w:jc w:val="left"/>
            </w:pPr>
            <w:r>
              <w:rPr>
                <w:rFonts w:ascii="Calibri" w:hAnsi="Calibri"/>
                <w:color w:val="0A0A0A"/>
                <w:sz w:val="19"/>
              </w:rPr>
              <w:t>Future Market Insights</w:t>
            </w:r>
          </w:p>
        </w:tc>
      </w:tr>
      <w:tr>
        <w:tc>
          <w:tcPr>
            <w:tcW w:type="dxa" w:w="3456"/>
            <w:shd w:val="clear" w:color="auto" w:fill="F0F4F0"/>
            <w:vAlign w:val="center"/>
          </w:tcPr>
          <w:p>
            <w:pPr>
              <w:jc w:val="left"/>
            </w:pPr>
            <w:r>
              <w:rPr>
                <w:rFonts w:ascii="Calibri" w:hAnsi="Calibri"/>
                <w:color w:val="0A0A0A"/>
                <w:sz w:val="19"/>
              </w:rPr>
              <w:t>CHARGEBOTIC SAM (deployable power)</w:t>
            </w:r>
          </w:p>
        </w:tc>
        <w:tc>
          <w:tcPr>
            <w:tcW w:type="dxa" w:w="2016"/>
            <w:shd w:val="clear" w:color="auto" w:fill="F0F4F0"/>
            <w:vAlign w:val="center"/>
          </w:tcPr>
          <w:p>
            <w:pPr>
              <w:jc w:val="left"/>
            </w:pPr>
            <w:r>
              <w:rPr>
                <w:rFonts w:ascii="Calibri" w:hAnsi="Calibri"/>
                <w:color w:val="0A0A0A"/>
                <w:sz w:val="19"/>
              </w:rPr>
              <w:t>$400M–$800M</w:t>
            </w:r>
          </w:p>
        </w:tc>
        <w:tc>
          <w:tcPr>
            <w:tcW w:type="dxa" w:w="2592"/>
            <w:shd w:val="clear" w:color="auto" w:fill="F0F4F0"/>
            <w:vAlign w:val="center"/>
          </w:tcPr>
          <w:p>
            <w:pPr>
              <w:jc w:val="left"/>
            </w:pPr>
            <w:r>
              <w:rPr>
                <w:rFonts w:ascii="Calibri" w:hAnsi="Calibri"/>
                <w:color w:val="0A0A0A"/>
                <w:sz w:val="19"/>
              </w:rPr>
              <w:t>$1.5B+ by 2030</w:t>
            </w:r>
          </w:p>
        </w:tc>
        <w:tc>
          <w:tcPr>
            <w:tcW w:type="dxa" w:w="1440"/>
            <w:shd w:val="clear" w:color="auto" w:fill="F0F4F0"/>
            <w:vAlign w:val="center"/>
          </w:tcPr>
          <w:p>
            <w:pPr>
              <w:jc w:val="left"/>
            </w:pPr>
            <w:r>
              <w:rPr>
                <w:rFonts w:ascii="Calibri" w:hAnsi="Calibri"/>
                <w:color w:val="0A0A0A"/>
                <w:sz w:val="19"/>
              </w:rPr>
              <w:t>~15%</w:t>
            </w:r>
          </w:p>
        </w:tc>
        <w:tc>
          <w:tcPr>
            <w:tcW w:type="dxa" w:w="2448"/>
            <w:shd w:val="clear" w:color="auto" w:fill="F0F4F0"/>
            <w:vAlign w:val="center"/>
          </w:tcPr>
          <w:p>
            <w:pPr>
              <w:jc w:val="left"/>
            </w:pPr>
            <w:r>
              <w:rPr>
                <w:rFonts w:ascii="Calibri" w:hAnsi="Calibri"/>
                <w:color w:val="0A0A0A"/>
                <w:sz w:val="19"/>
              </w:rPr>
              <w:t>Chargebotic estimate</w:t>
            </w:r>
          </w:p>
        </w:tc>
      </w:tr>
    </w:tbl>
    <w:p/>
    <w:p>
      <w:pPr>
        <w:spacing w:before="240" w:after="60"/>
      </w:pPr>
      <w:r>
        <w:rPr>
          <w:rFonts w:ascii="Calibri" w:hAnsi="Calibri"/>
          <w:b/>
          <w:color w:val="1A1A2E"/>
          <w:sz w:val="24"/>
        </w:rPr>
        <w:t>2.2 Why the Market Is Growing Fast</w:t>
      </w:r>
    </w:p>
    <w:p>
      <w:pPr>
        <w:pStyle w:val="ListBullet"/>
        <w:spacing w:after="60"/>
        <w:ind w:left="432"/>
      </w:pPr>
      <w:r>
        <w:rPr>
          <w:rFonts w:ascii="Calibri" w:hAnsi="Calibri"/>
          <w:b/>
          <w:color w:val="1A4A7A"/>
          <w:sz w:val="21"/>
        </w:rPr>
        <w:t>Electrification of the battlefield</w:t>
      </w:r>
    </w:p>
    <w:p>
      <w:pPr>
        <w:spacing w:after="40"/>
      </w:pPr>
      <w:r>
        <w:rPr>
          <w:rFonts w:ascii="Calibri" w:hAnsi="Calibri"/>
          <w:color w:val="0A0A0A"/>
          <w:sz w:val="21"/>
        </w:rPr>
        <w:t xml:space="preserve">    Drones, autonomous systems, electronic warfare, directed energy weapons, and C4ISR all require growing amounts of electrical power at the tactical edge.</w:t>
      </w:r>
    </w:p>
    <w:p>
      <w:pPr>
        <w:pStyle w:val="ListBullet"/>
        <w:spacing w:after="60"/>
        <w:ind w:left="432"/>
      </w:pPr>
      <w:r>
        <w:rPr>
          <w:rFonts w:ascii="Calibri" w:hAnsi="Calibri"/>
          <w:b/>
          <w:color w:val="1A4A7A"/>
          <w:sz w:val="21"/>
        </w:rPr>
        <w:t>DoD mandate to reduce fuel dependency</w:t>
      </w:r>
    </w:p>
    <w:p>
      <w:pPr>
        <w:spacing w:after="40"/>
      </w:pPr>
      <w:r>
        <w:rPr>
          <w:rFonts w:ascii="Calibri" w:hAnsi="Calibri"/>
          <w:color w:val="0A0A0A"/>
          <w:sz w:val="21"/>
        </w:rPr>
        <w:t xml:space="preserve">    The Army Operational Energy Strategy formally mandates reducing FOB fuel consumption. Congressional and GAO pressure following convoy casualty data has created top-down budget support.</w:t>
      </w:r>
    </w:p>
    <w:p>
      <w:pPr>
        <w:pStyle w:val="ListBullet"/>
        <w:spacing w:after="60"/>
        <w:ind w:left="432"/>
      </w:pPr>
      <w:r>
        <w:rPr>
          <w:rFonts w:ascii="Calibri" w:hAnsi="Calibri"/>
          <w:b/>
          <w:color w:val="1A4A7A"/>
          <w:sz w:val="21"/>
        </w:rPr>
        <w:t>DARPA active investment in energy innovation</w:t>
      </w:r>
    </w:p>
    <w:p>
      <w:pPr>
        <w:spacing w:after="40"/>
      </w:pPr>
      <w:r>
        <w:rPr>
          <w:rFonts w:ascii="Calibri" w:hAnsi="Calibri"/>
          <w:color w:val="0A0A0A"/>
          <w:sz w:val="21"/>
        </w:rPr>
        <w:t xml:space="preserve">    DARPA's POWER program (Persistent Optical Wireless Energy Relay, $10M+), ExPEDitions battery program (targeting 5–10× energy density), and multiple SBIR cycles signal sustained institutional demand.</w:t>
      </w:r>
    </w:p>
    <w:p>
      <w:pPr>
        <w:pStyle w:val="ListBullet"/>
        <w:spacing w:after="60"/>
        <w:ind w:left="432"/>
      </w:pPr>
      <w:r>
        <w:rPr>
          <w:rFonts w:ascii="Calibri" w:hAnsi="Calibri"/>
          <w:b/>
          <w:color w:val="1A4A7A"/>
          <w:sz w:val="21"/>
        </w:rPr>
        <w:t>Tethered drones becoming formal Army programs (2025)</w:t>
      </w:r>
    </w:p>
    <w:p>
      <w:pPr>
        <w:spacing w:after="40"/>
      </w:pPr>
      <w:r>
        <w:rPr>
          <w:rFonts w:ascii="Calibri" w:hAnsi="Calibri"/>
          <w:color w:val="0A0A0A"/>
          <w:sz w:val="21"/>
        </w:rPr>
        <w:t xml:space="preserve">    The Army is converting tethered drone experimentation into formal program-of-record status — directly opening the procurement pathway for Chargebotic's hardware.</w:t>
      </w:r>
    </w:p>
    <w:p>
      <w:pPr>
        <w:pStyle w:val="ListBullet"/>
        <w:spacing w:after="60"/>
        <w:ind w:left="432"/>
      </w:pPr>
      <w:r>
        <w:rPr>
          <w:rFonts w:ascii="Calibri" w:hAnsi="Calibri"/>
          <w:b/>
          <w:color w:val="1A4A7A"/>
          <w:sz w:val="21"/>
        </w:rPr>
        <w:t>US share dominates</w:t>
      </w:r>
    </w:p>
    <w:p>
      <w:pPr>
        <w:spacing w:after="40"/>
      </w:pPr>
      <w:r>
        <w:rPr>
          <w:rFonts w:ascii="Calibri" w:hAnsi="Calibri"/>
          <w:color w:val="0A0A0A"/>
          <w:sz w:val="21"/>
        </w:rPr>
        <w:t xml:space="preserve">    The United States accounts for approximately 86% of the North American military power market, driven by extensive modernization programs and the largest defense budget in the world.</w:t>
      </w:r>
    </w:p>
    <w:p>
      <w:pPr>
        <w:spacing w:before="240" w:after="60"/>
      </w:pPr>
      <w:r>
        <w:rPr>
          <w:rFonts w:ascii="Calibri" w:hAnsi="Calibri"/>
          <w:b/>
          <w:color w:val="1A1A2E"/>
          <w:sz w:val="24"/>
        </w:rPr>
        <w:t>2.3 Chargebotic's Serviceable Market</w:t>
      </w:r>
    </w:p>
    <w:p>
      <w:pPr>
        <w:spacing w:after="120"/>
      </w:pPr>
      <w:r>
        <w:rPr>
          <w:rFonts w:ascii="Calibri" w:hAnsi="Calibri"/>
          <w:color w:val="0A0A0A"/>
          <w:sz w:val="21"/>
        </w:rPr>
        <w:t>Chargebotic's SAM is the deployable off-grid power sub-segment — bases, training sites, and field units that are (a) near power line infrastructure and (b) currently paying the high fully-burdened cost of diesel logistics. This is estimated conservatively at $400M–$800M in 2024, growing to $1.5B+ by 2030 at a ~15% CAGR. The US alone hosts 750+ overseas military installations in 80+ countries, the majority of which have power lines within operational radius.</w:t>
      </w:r>
    </w:p>
    <w:p>
      <w:r>
        <w:br w:type="page"/>
      </w:r>
    </w:p>
    <w:p>
      <w:pPr>
        <w:spacing w:before="360" w:after="80"/>
        <w:pBdr>
          <w:bottom w:val="single" w:sz="8" w:space="1" w:color="D4810F"/>
        </w:pBdr>
      </w:pPr>
      <w:r>
        <w:rPr>
          <w:rFonts w:ascii="Calibri" w:hAnsi="Calibri"/>
          <w:b/>
          <w:color w:val="D47E0F"/>
          <w:sz w:val="30"/>
        </w:rPr>
        <w:t>3. DIRECT CUSTOMERS — WHO BUYS, HOW MANY, WHAT THEY NEED</w:t>
      </w:r>
    </w:p>
    <w:p>
      <w:pPr>
        <w:spacing w:after="120"/>
      </w:pPr>
      <w:r>
        <w:rPr>
          <w:rFonts w:ascii="Calibri" w:hAnsi="Calibri"/>
          <w:color w:val="0A0A0A"/>
          <w:sz w:val="21"/>
        </w:rPr>
        <w:t>Chargebotic has three tiers of direct government customers: the US Army (largest buyer by volume), USSOCOM (highest priority, fastest procurement), and the US Marine Corps (secondary, expeditionary). Allied forces and NATO partners represent an international expansion layer.</w:t>
      </w:r>
    </w:p>
    <w:p>
      <w:pPr>
        <w:spacing w:before="240" w:after="60"/>
      </w:pPr>
      <w:r>
        <w:rPr>
          <w:rFonts w:ascii="Calibri" w:hAnsi="Calibri"/>
          <w:b/>
          <w:color w:val="1A1A2E"/>
          <w:sz w:val="24"/>
        </w:rPr>
        <w:t>3.1 US Army — Primary Customer</w:t>
      </w:r>
    </w:p>
    <w:p>
      <w:pPr>
        <w:spacing w:before="160" w:after="40"/>
      </w:pPr>
      <w:r>
        <w:rPr>
          <w:rFonts w:ascii="Calibri" w:hAnsi="Calibri"/>
          <w:b/>
          <w:color w:val="1A4A7A"/>
          <w:sz w:val="22"/>
        </w:rPr>
        <w:t>Who They Are</w:t>
      </w:r>
    </w:p>
    <w:p>
      <w:pPr>
        <w:spacing w:after="120"/>
      </w:pPr>
      <w:r>
        <w:rPr>
          <w:rFonts w:ascii="Calibri" w:hAnsi="Calibri"/>
          <w:color w:val="0A0A0A"/>
          <w:sz w:val="21"/>
        </w:rPr>
        <w:t>The US Army is the world's largest land force and the dominant consumer of forward-deployed power generation equipment. Army Brigade Combat Teams (BCTs) are the primary operational unit and the relevant buying unit for FOB power systems.</w:t>
      </w:r>
    </w:p>
    <w:p>
      <w:pPr>
        <w:spacing w:before="160" w:after="40"/>
      </w:pPr>
      <w:r>
        <w:rPr>
          <w:rFonts w:ascii="Calibri" w:hAnsi="Calibri"/>
          <w:b/>
          <w:color w:val="1A4A7A"/>
          <w:sz w:val="22"/>
        </w:rPr>
        <w:t>Key Numbers</w:t>
      </w:r>
    </w:p>
    <w:tbl>
      <w:tblPr>
        <w:tblStyle w:val="TableGrid"/>
        <w:tblW w:type="auto" w:w="0"/>
        <w:jc w:val="center"/>
        <w:tblLook w:firstColumn="1" w:firstRow="1" w:lastColumn="0" w:lastRow="0" w:noHBand="0" w:noVBand="1" w:val="04A0"/>
      </w:tblPr>
      <w:tblGrid>
        <w:gridCol w:w="3024"/>
        <w:gridCol w:w="3024"/>
        <w:gridCol w:w="3024"/>
      </w:tblGrid>
      <w:tr>
        <w:tc>
          <w:tcPr>
            <w:tcW w:type="dxa" w:w="3600"/>
            <w:shd w:val="clear" w:color="auto" w:fill="1A2E1A"/>
            <w:vAlign w:val="center"/>
          </w:tcPr>
          <w:p>
            <w:pPr>
              <w:jc w:val="left"/>
            </w:pPr>
            <w:r>
              <w:rPr>
                <w:rFonts w:ascii="Calibri" w:hAnsi="Calibri"/>
                <w:b/>
                <w:color w:val="FFFFFF"/>
                <w:sz w:val="18"/>
              </w:rPr>
              <w:t>METRIC</w:t>
            </w:r>
          </w:p>
        </w:tc>
        <w:tc>
          <w:tcPr>
            <w:tcW w:type="dxa" w:w="2304"/>
            <w:shd w:val="clear" w:color="auto" w:fill="1A2E1A"/>
            <w:vAlign w:val="center"/>
          </w:tcPr>
          <w:p>
            <w:pPr>
              <w:jc w:val="left"/>
            </w:pPr>
            <w:r>
              <w:rPr>
                <w:rFonts w:ascii="Calibri" w:hAnsi="Calibri"/>
                <w:b/>
                <w:color w:val="FFFFFF"/>
                <w:sz w:val="18"/>
              </w:rPr>
              <w:t>FIGURE</w:t>
            </w:r>
          </w:p>
        </w:tc>
        <w:tc>
          <w:tcPr>
            <w:tcW w:type="dxa" w:w="5184"/>
            <w:shd w:val="clear" w:color="auto" w:fill="1A2E1A"/>
            <w:vAlign w:val="center"/>
          </w:tcPr>
          <w:p>
            <w:pPr>
              <w:jc w:val="left"/>
            </w:pPr>
            <w:r>
              <w:rPr>
                <w:rFonts w:ascii="Calibri" w:hAnsi="Calibri"/>
                <w:b/>
                <w:color w:val="FFFFFF"/>
                <w:sz w:val="18"/>
              </w:rPr>
              <w:t>NOTES</w:t>
            </w:r>
          </w:p>
        </w:tc>
      </w:tr>
      <w:tr>
        <w:tc>
          <w:tcPr>
            <w:tcW w:type="dxa" w:w="3600"/>
            <w:vAlign w:val="center"/>
          </w:tcPr>
          <w:p>
            <w:pPr>
              <w:jc w:val="left"/>
            </w:pPr>
            <w:r>
              <w:rPr>
                <w:rFonts w:ascii="Calibri" w:hAnsi="Calibri"/>
                <w:color w:val="0A0A0A"/>
                <w:sz w:val="19"/>
              </w:rPr>
              <w:t>Active-Duty BCTs</w:t>
            </w:r>
          </w:p>
        </w:tc>
        <w:tc>
          <w:tcPr>
            <w:tcW w:type="dxa" w:w="2304"/>
            <w:vAlign w:val="center"/>
          </w:tcPr>
          <w:p>
            <w:pPr>
              <w:jc w:val="left"/>
            </w:pPr>
            <w:r>
              <w:rPr>
                <w:rFonts w:ascii="Calibri" w:hAnsi="Calibri"/>
                <w:color w:val="0A0A0A"/>
                <w:sz w:val="19"/>
              </w:rPr>
              <w:t>32</w:t>
            </w:r>
          </w:p>
        </w:tc>
        <w:tc>
          <w:tcPr>
            <w:tcW w:type="dxa" w:w="5184"/>
            <w:vAlign w:val="center"/>
          </w:tcPr>
          <w:p>
            <w:pPr>
              <w:jc w:val="left"/>
            </w:pPr>
            <w:r>
              <w:rPr>
                <w:rFonts w:ascii="Calibri" w:hAnsi="Calibri"/>
                <w:color w:val="0A0A0A"/>
                <w:sz w:val="19"/>
              </w:rPr>
              <w:t>14 Infantry, 11 Armored, 7 Stryker</w:t>
            </w:r>
          </w:p>
        </w:tc>
      </w:tr>
      <w:tr>
        <w:tc>
          <w:tcPr>
            <w:tcW w:type="dxa" w:w="3600"/>
            <w:shd w:val="clear" w:color="auto" w:fill="F0F4F0"/>
            <w:vAlign w:val="center"/>
          </w:tcPr>
          <w:p>
            <w:pPr>
              <w:jc w:val="left"/>
            </w:pPr>
            <w:r>
              <w:rPr>
                <w:rFonts w:ascii="Calibri" w:hAnsi="Calibri"/>
                <w:color w:val="0A0A0A"/>
                <w:sz w:val="19"/>
              </w:rPr>
              <w:t>National Guard BCTs</w:t>
            </w:r>
          </w:p>
        </w:tc>
        <w:tc>
          <w:tcPr>
            <w:tcW w:type="dxa" w:w="2304"/>
            <w:shd w:val="clear" w:color="auto" w:fill="F0F4F0"/>
            <w:vAlign w:val="center"/>
          </w:tcPr>
          <w:p>
            <w:pPr>
              <w:jc w:val="left"/>
            </w:pPr>
            <w:r>
              <w:rPr>
                <w:rFonts w:ascii="Calibri" w:hAnsi="Calibri"/>
                <w:color w:val="0A0A0A"/>
                <w:sz w:val="19"/>
              </w:rPr>
              <w:t>27</w:t>
            </w:r>
          </w:p>
        </w:tc>
        <w:tc>
          <w:tcPr>
            <w:tcW w:type="dxa" w:w="5184"/>
            <w:shd w:val="clear" w:color="auto" w:fill="F0F4F0"/>
            <w:vAlign w:val="center"/>
          </w:tcPr>
          <w:p>
            <w:pPr>
              <w:jc w:val="left"/>
            </w:pPr>
            <w:r>
              <w:rPr>
                <w:rFonts w:ascii="Calibri" w:hAnsi="Calibri"/>
                <w:color w:val="0A0A0A"/>
                <w:sz w:val="19"/>
              </w:rPr>
              <w:t>20 Infantry, 5 Armored, 2 Stryker</w:t>
            </w:r>
          </w:p>
        </w:tc>
      </w:tr>
      <w:tr>
        <w:tc>
          <w:tcPr>
            <w:tcW w:type="dxa" w:w="3600"/>
            <w:vAlign w:val="center"/>
          </w:tcPr>
          <w:p>
            <w:pPr>
              <w:jc w:val="left"/>
            </w:pPr>
            <w:r>
              <w:rPr>
                <w:rFonts w:ascii="Calibri" w:hAnsi="Calibri"/>
                <w:color w:val="0A0A0A"/>
                <w:sz w:val="19"/>
              </w:rPr>
              <w:t>Total BCTs</w:t>
            </w:r>
          </w:p>
        </w:tc>
        <w:tc>
          <w:tcPr>
            <w:tcW w:type="dxa" w:w="2304"/>
            <w:vAlign w:val="center"/>
          </w:tcPr>
          <w:p>
            <w:pPr>
              <w:jc w:val="left"/>
            </w:pPr>
            <w:r>
              <w:rPr>
                <w:rFonts w:ascii="Calibri" w:hAnsi="Calibri"/>
                <w:color w:val="0A0A0A"/>
                <w:sz w:val="19"/>
              </w:rPr>
              <w:t>59</w:t>
            </w:r>
          </w:p>
        </w:tc>
        <w:tc>
          <w:tcPr>
            <w:tcW w:type="dxa" w:w="5184"/>
            <w:vAlign w:val="center"/>
          </w:tcPr>
          <w:p>
            <w:pPr>
              <w:jc w:val="left"/>
            </w:pPr>
            <w:r>
              <w:rPr>
                <w:rFonts w:ascii="Calibri" w:hAnsi="Calibri"/>
                <w:color w:val="0A0A0A"/>
                <w:sz w:val="19"/>
              </w:rPr>
              <w:t>Each runs its own FOB power infrastructure</w:t>
            </w:r>
          </w:p>
        </w:tc>
      </w:tr>
      <w:tr>
        <w:tc>
          <w:tcPr>
            <w:tcW w:type="dxa" w:w="3600"/>
            <w:shd w:val="clear" w:color="auto" w:fill="F0F4F0"/>
            <w:vAlign w:val="center"/>
          </w:tcPr>
          <w:p>
            <w:pPr>
              <w:jc w:val="left"/>
            </w:pPr>
            <w:r>
              <w:rPr>
                <w:rFonts w:ascii="Calibri" w:hAnsi="Calibri"/>
                <w:color w:val="0A0A0A"/>
                <w:sz w:val="19"/>
              </w:rPr>
              <w:t>Soldiers per BCT</w:t>
            </w:r>
          </w:p>
        </w:tc>
        <w:tc>
          <w:tcPr>
            <w:tcW w:type="dxa" w:w="2304"/>
            <w:shd w:val="clear" w:color="auto" w:fill="F0F4F0"/>
            <w:vAlign w:val="center"/>
          </w:tcPr>
          <w:p>
            <w:pPr>
              <w:jc w:val="left"/>
            </w:pPr>
            <w:r>
              <w:rPr>
                <w:rFonts w:ascii="Calibri" w:hAnsi="Calibri"/>
                <w:color w:val="0A0A0A"/>
                <w:sz w:val="19"/>
              </w:rPr>
              <w:t>4,000–4,700</w:t>
            </w:r>
          </w:p>
        </w:tc>
        <w:tc>
          <w:tcPr>
            <w:tcW w:type="dxa" w:w="5184"/>
            <w:shd w:val="clear" w:color="auto" w:fill="F0F4F0"/>
            <w:vAlign w:val="center"/>
          </w:tcPr>
          <w:p>
            <w:pPr>
              <w:jc w:val="left"/>
            </w:pPr>
            <w:r>
              <w:rPr>
                <w:rFonts w:ascii="Calibri" w:hAnsi="Calibri"/>
                <w:color w:val="0A0A0A"/>
                <w:sz w:val="19"/>
              </w:rPr>
              <w:t>Commanded by a Colonel</w:t>
            </w:r>
          </w:p>
        </w:tc>
      </w:tr>
      <w:tr>
        <w:tc>
          <w:tcPr>
            <w:tcW w:type="dxa" w:w="3600"/>
            <w:vAlign w:val="center"/>
          </w:tcPr>
          <w:p>
            <w:pPr>
              <w:jc w:val="left"/>
            </w:pPr>
            <w:r>
              <w:rPr>
                <w:rFonts w:ascii="Calibri" w:hAnsi="Calibri"/>
                <w:color w:val="0A0A0A"/>
                <w:sz w:val="19"/>
              </w:rPr>
              <w:t>US overseas installations</w:t>
            </w:r>
          </w:p>
        </w:tc>
        <w:tc>
          <w:tcPr>
            <w:tcW w:type="dxa" w:w="2304"/>
            <w:vAlign w:val="center"/>
          </w:tcPr>
          <w:p>
            <w:pPr>
              <w:jc w:val="left"/>
            </w:pPr>
            <w:r>
              <w:rPr>
                <w:rFonts w:ascii="Calibri" w:hAnsi="Calibri"/>
                <w:color w:val="0A0A0A"/>
                <w:sz w:val="19"/>
              </w:rPr>
              <w:t>750+</w:t>
            </w:r>
          </w:p>
        </w:tc>
        <w:tc>
          <w:tcPr>
            <w:tcW w:type="dxa" w:w="5184"/>
            <w:vAlign w:val="center"/>
          </w:tcPr>
          <w:p>
            <w:pPr>
              <w:jc w:val="left"/>
            </w:pPr>
            <w:r>
              <w:rPr>
                <w:rFonts w:ascii="Calibri" w:hAnsi="Calibri"/>
                <w:color w:val="0A0A0A"/>
                <w:sz w:val="19"/>
              </w:rPr>
              <w:t>In 80+ countries</w:t>
            </w:r>
          </w:p>
        </w:tc>
      </w:tr>
      <w:tr>
        <w:tc>
          <w:tcPr>
            <w:tcW w:type="dxa" w:w="3600"/>
            <w:shd w:val="clear" w:color="auto" w:fill="F0F4F0"/>
            <w:vAlign w:val="center"/>
          </w:tcPr>
          <w:p>
            <w:pPr>
              <w:jc w:val="left"/>
            </w:pPr>
            <w:r>
              <w:rPr>
                <w:rFonts w:ascii="Calibri" w:hAnsi="Calibri"/>
                <w:color w:val="0A0A0A"/>
                <w:sz w:val="19"/>
              </w:rPr>
              <w:t>Permanently stationed abroad</w:t>
            </w:r>
          </w:p>
        </w:tc>
        <w:tc>
          <w:tcPr>
            <w:tcW w:type="dxa" w:w="2304"/>
            <w:shd w:val="clear" w:color="auto" w:fill="F0F4F0"/>
            <w:vAlign w:val="center"/>
          </w:tcPr>
          <w:p>
            <w:pPr>
              <w:jc w:val="left"/>
            </w:pPr>
            <w:r>
              <w:rPr>
                <w:rFonts w:ascii="Calibri" w:hAnsi="Calibri"/>
                <w:color w:val="0A0A0A"/>
                <w:sz w:val="19"/>
              </w:rPr>
              <w:t>173,000</w:t>
            </w:r>
          </w:p>
        </w:tc>
        <w:tc>
          <w:tcPr>
            <w:tcW w:type="dxa" w:w="5184"/>
            <w:shd w:val="clear" w:color="auto" w:fill="F0F4F0"/>
            <w:vAlign w:val="center"/>
          </w:tcPr>
          <w:p>
            <w:pPr>
              <w:jc w:val="left"/>
            </w:pPr>
            <w:r>
              <w:rPr>
                <w:rFonts w:ascii="Calibri" w:hAnsi="Calibri"/>
                <w:color w:val="0A0A0A"/>
                <w:sz w:val="19"/>
              </w:rPr>
              <w:t>Active-duty personnel</w:t>
            </w:r>
          </w:p>
        </w:tc>
      </w:tr>
      <w:tr>
        <w:tc>
          <w:tcPr>
            <w:tcW w:type="dxa" w:w="3600"/>
            <w:vAlign w:val="center"/>
          </w:tcPr>
          <w:p>
            <w:pPr>
              <w:jc w:val="left"/>
            </w:pPr>
            <w:r>
              <w:rPr>
                <w:rFonts w:ascii="Calibri" w:hAnsi="Calibri"/>
                <w:color w:val="0A0A0A"/>
                <w:sz w:val="19"/>
              </w:rPr>
              <w:t>Annual fuel spend (Army)</w:t>
            </w:r>
          </w:p>
        </w:tc>
        <w:tc>
          <w:tcPr>
            <w:tcW w:type="dxa" w:w="2304"/>
            <w:vAlign w:val="center"/>
          </w:tcPr>
          <w:p>
            <w:pPr>
              <w:jc w:val="left"/>
            </w:pPr>
            <w:r>
              <w:rPr>
                <w:rFonts w:ascii="Calibri" w:hAnsi="Calibri"/>
                <w:color w:val="0A0A0A"/>
                <w:sz w:val="19"/>
              </w:rPr>
              <w:t>$2.7B+ (FY2010)</w:t>
            </w:r>
          </w:p>
        </w:tc>
        <w:tc>
          <w:tcPr>
            <w:tcW w:type="dxa" w:w="5184"/>
            <w:vAlign w:val="center"/>
          </w:tcPr>
          <w:p>
            <w:pPr>
              <w:jc w:val="left"/>
            </w:pPr>
            <w:r>
              <w:rPr>
                <w:rFonts w:ascii="Calibri" w:hAnsi="Calibri"/>
                <w:color w:val="0A0A0A"/>
                <w:sz w:val="19"/>
              </w:rPr>
              <w:t>70% was for theater operations</w:t>
            </w:r>
          </w:p>
        </w:tc>
      </w:tr>
    </w:tbl>
    <w:p/>
    <w:p>
      <w:pPr>
        <w:spacing w:before="160" w:after="40"/>
      </w:pPr>
      <w:r>
        <w:rPr>
          <w:rFonts w:ascii="Calibri" w:hAnsi="Calibri"/>
          <w:b/>
          <w:color w:val="1A4A7A"/>
          <w:sz w:val="22"/>
        </w:rPr>
        <w:t>What They Need</w:t>
      </w:r>
    </w:p>
    <w:p>
      <w:pPr>
        <w:spacing w:after="120"/>
      </w:pPr>
      <w:r>
        <w:rPr>
          <w:rFonts w:ascii="Calibri" w:hAnsi="Calibri"/>
          <w:color w:val="0A0A0A"/>
          <w:sz w:val="21"/>
        </w:rPr>
        <w:t>BCTs operating near power infrastructure — training in CONUS, deployed across Europe (Germany, Italy, Poland), or staged near allied grid in Korea and Japan — still run diesel generators because autonomous power line tapping at scale is not currently possible. Chargebotic solves this directly.</w:t>
      </w:r>
    </w:p>
    <w:p>
      <w:pPr>
        <w:spacing w:before="160" w:after="40"/>
      </w:pPr>
      <w:r>
        <w:rPr>
          <w:rFonts w:ascii="Calibri" w:hAnsi="Calibri"/>
          <w:b/>
          <w:color w:val="1A4A7A"/>
          <w:sz w:val="22"/>
        </w:rPr>
        <w:t>How They Buy</w:t>
      </w:r>
    </w:p>
    <w:p>
      <w:pPr>
        <w:pStyle w:val="ListBullet"/>
        <w:spacing w:after="60"/>
        <w:ind w:left="432"/>
      </w:pPr>
      <w:r>
        <w:rPr>
          <w:rFonts w:ascii="Calibri" w:hAnsi="Calibri"/>
          <w:b/>
          <w:color w:val="D47E0F"/>
          <w:sz w:val="21"/>
        </w:rPr>
        <w:t>Army SBIR Phase I</w:t>
      </w:r>
    </w:p>
    <w:p>
      <w:pPr>
        <w:spacing w:after="40"/>
      </w:pPr>
      <w:r>
        <w:rPr>
          <w:rFonts w:ascii="Calibri" w:hAnsi="Calibri"/>
          <w:color w:val="0A0A0A"/>
          <w:sz w:val="21"/>
        </w:rPr>
        <w:t xml:space="preserve">    $250K award, 6-month performance period. The Army has an open RFP specifically for military power solutions innovation. Lowest barrier to entry.</w:t>
      </w:r>
    </w:p>
    <w:p>
      <w:pPr>
        <w:pStyle w:val="ListBullet"/>
        <w:spacing w:after="60"/>
        <w:ind w:left="432"/>
      </w:pPr>
      <w:r>
        <w:rPr>
          <w:rFonts w:ascii="Calibri" w:hAnsi="Calibri"/>
          <w:b/>
          <w:color w:val="D47E0F"/>
          <w:sz w:val="21"/>
        </w:rPr>
        <w:t>Program Executive Office CS&amp;CSS</w:t>
      </w:r>
    </w:p>
    <w:p>
      <w:pPr>
        <w:spacing w:after="40"/>
      </w:pPr>
      <w:r>
        <w:rPr>
          <w:rFonts w:ascii="Calibri" w:hAnsi="Calibri"/>
          <w:color w:val="0A0A0A"/>
          <w:sz w:val="21"/>
        </w:rPr>
        <w:t xml:space="preserve">    PEO Combat Support &amp; Combat Service Support manages Army power generation procurement programs.</w:t>
      </w:r>
    </w:p>
    <w:p>
      <w:pPr>
        <w:pStyle w:val="ListBullet"/>
        <w:spacing w:after="60"/>
        <w:ind w:left="432"/>
      </w:pPr>
      <w:r>
        <w:rPr>
          <w:rFonts w:ascii="Calibri" w:hAnsi="Calibri"/>
          <w:b/>
          <w:color w:val="D47E0F"/>
          <w:sz w:val="21"/>
        </w:rPr>
        <w:t>Other Transaction Authority (OTA)</w:t>
      </w:r>
    </w:p>
    <w:p>
      <w:pPr>
        <w:spacing w:after="40"/>
      </w:pPr>
      <w:r>
        <w:rPr>
          <w:rFonts w:ascii="Calibri" w:hAnsi="Calibri"/>
          <w:color w:val="0A0A0A"/>
          <w:sz w:val="21"/>
        </w:rPr>
        <w:t xml:space="preserve">    Faster procurement pathway for innovative technology — bypasses the full FAR acquisition process.</w:t>
      </w:r>
    </w:p>
    <w:p>
      <w:pPr>
        <w:pStyle w:val="ListBullet"/>
        <w:spacing w:after="60"/>
        <w:ind w:left="432"/>
      </w:pPr>
      <w:r>
        <w:rPr>
          <w:rFonts w:ascii="Calibri" w:hAnsi="Calibri"/>
          <w:b/>
          <w:color w:val="D47E0F"/>
          <w:sz w:val="21"/>
        </w:rPr>
        <w:t>Army Futures Command (AFC)</w:t>
      </w:r>
    </w:p>
    <w:p>
      <w:pPr>
        <w:spacing w:after="40"/>
      </w:pPr>
      <w:r>
        <w:rPr>
          <w:rFonts w:ascii="Calibri" w:hAnsi="Calibri"/>
          <w:color w:val="0A0A0A"/>
          <w:sz w:val="21"/>
        </w:rPr>
        <w:t xml:space="preserve">    The Army's innovation arm. Direct engagement here can accelerate to pilot contracts.</w:t>
      </w:r>
    </w:p>
    <w:p>
      <w:pPr>
        <w:spacing w:before="240" w:after="60"/>
      </w:pPr>
      <w:r>
        <w:rPr>
          <w:rFonts w:ascii="Calibri" w:hAnsi="Calibri"/>
          <w:b/>
          <w:color w:val="1A1A2E"/>
          <w:sz w:val="24"/>
        </w:rPr>
        <w:t>3.2 USSOCOM — Highest Priority Customer</w:t>
      </w:r>
    </w:p>
    <w:p>
      <w:pPr>
        <w:spacing w:before="160" w:after="40"/>
      </w:pPr>
      <w:r>
        <w:rPr>
          <w:rFonts w:ascii="Calibri" w:hAnsi="Calibri"/>
          <w:b/>
          <w:color w:val="1A4A7A"/>
          <w:sz w:val="22"/>
        </w:rPr>
        <w:t>Who They Are</w:t>
      </w:r>
    </w:p>
    <w:p>
      <w:pPr>
        <w:spacing w:after="120"/>
      </w:pPr>
      <w:r>
        <w:rPr>
          <w:rFonts w:ascii="Calibri" w:hAnsi="Calibri"/>
          <w:color w:val="0A0A0A"/>
          <w:sz w:val="21"/>
        </w:rPr>
        <w:t>United States Special Operations Command (USSOCOM) is the joint command coordinating Army Special Forces (Green Berets), Navy SEALs, Rangers, MARSOC, Air Force Special Operations, and Civil Affairs. They operate in the most austere, denied, and remote environments — often with zero logistics support for days or weeks. SOCOM pioneered military energy harvesting research (TALOS exoskeleton power system, EHAP assault pack) and has the most acute version of the energy problem.</w:t>
      </w:r>
    </w:p>
    <w:p>
      <w:pPr>
        <w:spacing w:before="160" w:after="40"/>
      </w:pPr>
      <w:r>
        <w:rPr>
          <w:rFonts w:ascii="Calibri" w:hAnsi="Calibri"/>
          <w:b/>
          <w:color w:val="1A4A7A"/>
          <w:sz w:val="22"/>
        </w:rPr>
        <w:t>Key Numbers</w:t>
      </w:r>
    </w:p>
    <w:tbl>
      <w:tblPr>
        <w:tblStyle w:val="TableGrid"/>
        <w:tblW w:type="auto" w:w="0"/>
        <w:jc w:val="center"/>
        <w:tblLook w:firstColumn="1" w:firstRow="1" w:lastColumn="0" w:lastRow="0" w:noHBand="0" w:noVBand="1" w:val="04A0"/>
      </w:tblPr>
      <w:tblGrid>
        <w:gridCol w:w="3024"/>
        <w:gridCol w:w="3024"/>
        <w:gridCol w:w="3024"/>
      </w:tblGrid>
      <w:tr>
        <w:tc>
          <w:tcPr>
            <w:tcW w:type="dxa" w:w="3600"/>
            <w:shd w:val="clear" w:color="auto" w:fill="1A2E1A"/>
            <w:vAlign w:val="center"/>
          </w:tcPr>
          <w:p>
            <w:pPr>
              <w:jc w:val="left"/>
            </w:pPr>
            <w:r>
              <w:rPr>
                <w:rFonts w:ascii="Calibri" w:hAnsi="Calibri"/>
                <w:b/>
                <w:color w:val="FFFFFF"/>
                <w:sz w:val="18"/>
              </w:rPr>
              <w:t>METRIC</w:t>
            </w:r>
          </w:p>
        </w:tc>
        <w:tc>
          <w:tcPr>
            <w:tcW w:type="dxa" w:w="2304"/>
            <w:shd w:val="clear" w:color="auto" w:fill="1A2E1A"/>
            <w:vAlign w:val="center"/>
          </w:tcPr>
          <w:p>
            <w:pPr>
              <w:jc w:val="left"/>
            </w:pPr>
            <w:r>
              <w:rPr>
                <w:rFonts w:ascii="Calibri" w:hAnsi="Calibri"/>
                <w:b/>
                <w:color w:val="FFFFFF"/>
                <w:sz w:val="18"/>
              </w:rPr>
              <w:t>FIGURE</w:t>
            </w:r>
          </w:p>
        </w:tc>
        <w:tc>
          <w:tcPr>
            <w:tcW w:type="dxa" w:w="5184"/>
            <w:shd w:val="clear" w:color="auto" w:fill="1A2E1A"/>
            <w:vAlign w:val="center"/>
          </w:tcPr>
          <w:p>
            <w:pPr>
              <w:jc w:val="left"/>
            </w:pPr>
            <w:r>
              <w:rPr>
                <w:rFonts w:ascii="Calibri" w:hAnsi="Calibri"/>
                <w:b/>
                <w:color w:val="FFFFFF"/>
                <w:sz w:val="18"/>
              </w:rPr>
              <w:t>NOTES</w:t>
            </w:r>
          </w:p>
        </w:tc>
      </w:tr>
      <w:tr>
        <w:tc>
          <w:tcPr>
            <w:tcW w:type="dxa" w:w="3600"/>
            <w:vAlign w:val="center"/>
          </w:tcPr>
          <w:p>
            <w:pPr>
              <w:jc w:val="left"/>
            </w:pPr>
            <w:r>
              <w:rPr>
                <w:rFonts w:ascii="Calibri" w:hAnsi="Calibri"/>
                <w:color w:val="0A0A0A"/>
                <w:sz w:val="19"/>
              </w:rPr>
              <w:t>Total SOF Personnel</w:t>
            </w:r>
          </w:p>
        </w:tc>
        <w:tc>
          <w:tcPr>
            <w:tcW w:type="dxa" w:w="2304"/>
            <w:vAlign w:val="center"/>
          </w:tcPr>
          <w:p>
            <w:pPr>
              <w:jc w:val="left"/>
            </w:pPr>
            <w:r>
              <w:rPr>
                <w:rFonts w:ascii="Calibri" w:hAnsi="Calibri"/>
                <w:color w:val="0A0A0A"/>
                <w:sz w:val="19"/>
              </w:rPr>
              <w:t>~73,000</w:t>
            </w:r>
          </w:p>
        </w:tc>
        <w:tc>
          <w:tcPr>
            <w:tcW w:type="dxa" w:w="5184"/>
            <w:vAlign w:val="center"/>
          </w:tcPr>
          <w:p>
            <w:pPr>
              <w:jc w:val="left"/>
            </w:pPr>
            <w:r>
              <w:rPr>
                <w:rFonts w:ascii="Calibri" w:hAnsi="Calibri"/>
                <w:color w:val="0A0A0A"/>
                <w:sz w:val="19"/>
              </w:rPr>
              <w:t>Active + reserve + civilian support</w:t>
            </w:r>
          </w:p>
        </w:tc>
      </w:tr>
      <w:tr>
        <w:tc>
          <w:tcPr>
            <w:tcW w:type="dxa" w:w="3600"/>
            <w:shd w:val="clear" w:color="auto" w:fill="F0F4F0"/>
            <w:vAlign w:val="center"/>
          </w:tcPr>
          <w:p>
            <w:pPr>
              <w:jc w:val="left"/>
            </w:pPr>
            <w:r>
              <w:rPr>
                <w:rFonts w:ascii="Calibri" w:hAnsi="Calibri"/>
                <w:color w:val="0A0A0A"/>
                <w:sz w:val="19"/>
              </w:rPr>
              <w:t>Countries Active</w:t>
            </w:r>
          </w:p>
        </w:tc>
        <w:tc>
          <w:tcPr>
            <w:tcW w:type="dxa" w:w="2304"/>
            <w:shd w:val="clear" w:color="auto" w:fill="F0F4F0"/>
            <w:vAlign w:val="center"/>
          </w:tcPr>
          <w:p>
            <w:pPr>
              <w:jc w:val="left"/>
            </w:pPr>
            <w:r>
              <w:rPr>
                <w:rFonts w:ascii="Calibri" w:hAnsi="Calibri"/>
                <w:color w:val="0A0A0A"/>
                <w:sz w:val="19"/>
              </w:rPr>
              <w:t>80+</w:t>
            </w:r>
          </w:p>
        </w:tc>
        <w:tc>
          <w:tcPr>
            <w:tcW w:type="dxa" w:w="5184"/>
            <w:shd w:val="clear" w:color="auto" w:fill="F0F4F0"/>
            <w:vAlign w:val="center"/>
          </w:tcPr>
          <w:p>
            <w:pPr>
              <w:jc w:val="left"/>
            </w:pPr>
            <w:r>
              <w:rPr>
                <w:rFonts w:ascii="Calibri" w:hAnsi="Calibri"/>
                <w:color w:val="0A0A0A"/>
                <w:sz w:val="19"/>
              </w:rPr>
              <w:t>Simultaneous operations</w:t>
            </w:r>
          </w:p>
        </w:tc>
      </w:tr>
      <w:tr>
        <w:tc>
          <w:tcPr>
            <w:tcW w:type="dxa" w:w="3600"/>
            <w:vAlign w:val="center"/>
          </w:tcPr>
          <w:p>
            <w:pPr>
              <w:jc w:val="left"/>
            </w:pPr>
            <w:r>
              <w:rPr>
                <w:rFonts w:ascii="Calibri" w:hAnsi="Calibri"/>
                <w:color w:val="0A0A0A"/>
                <w:sz w:val="19"/>
              </w:rPr>
              <w:t>Acquisition Authority</w:t>
            </w:r>
          </w:p>
        </w:tc>
        <w:tc>
          <w:tcPr>
            <w:tcW w:type="dxa" w:w="2304"/>
            <w:vAlign w:val="center"/>
          </w:tcPr>
          <w:p>
            <w:pPr>
              <w:jc w:val="left"/>
            </w:pPr>
            <w:r>
              <w:rPr>
                <w:rFonts w:ascii="Calibri" w:hAnsi="Calibri"/>
                <w:color w:val="0A0A0A"/>
                <w:sz w:val="19"/>
              </w:rPr>
              <w:t>Title 10, §167</w:t>
            </w:r>
          </w:p>
        </w:tc>
        <w:tc>
          <w:tcPr>
            <w:tcW w:type="dxa" w:w="5184"/>
            <w:vAlign w:val="center"/>
          </w:tcPr>
          <w:p>
            <w:pPr>
              <w:jc w:val="left"/>
            </w:pPr>
            <w:r>
              <w:rPr>
                <w:rFonts w:ascii="Calibri" w:hAnsi="Calibri"/>
                <w:color w:val="0A0A0A"/>
                <w:sz w:val="19"/>
              </w:rPr>
              <w:t>Can develop and acquire SOF-peculiar equipment independently</w:t>
            </w:r>
          </w:p>
        </w:tc>
      </w:tr>
      <w:tr>
        <w:tc>
          <w:tcPr>
            <w:tcW w:type="dxa" w:w="3600"/>
            <w:shd w:val="clear" w:color="auto" w:fill="F0F4F0"/>
            <w:vAlign w:val="center"/>
          </w:tcPr>
          <w:p>
            <w:pPr>
              <w:jc w:val="left"/>
            </w:pPr>
            <w:r>
              <w:rPr>
                <w:rFonts w:ascii="Calibri" w:hAnsi="Calibri"/>
                <w:color w:val="0A0A0A"/>
                <w:sz w:val="19"/>
              </w:rPr>
              <w:t>SBIR Phase I Award</w:t>
            </w:r>
          </w:p>
        </w:tc>
        <w:tc>
          <w:tcPr>
            <w:tcW w:type="dxa" w:w="2304"/>
            <w:shd w:val="clear" w:color="auto" w:fill="F0F4F0"/>
            <w:vAlign w:val="center"/>
          </w:tcPr>
          <w:p>
            <w:pPr>
              <w:jc w:val="left"/>
            </w:pPr>
            <w:r>
              <w:rPr>
                <w:rFonts w:ascii="Calibri" w:hAnsi="Calibri"/>
                <w:color w:val="0A0A0A"/>
                <w:sz w:val="19"/>
              </w:rPr>
              <w:t>$150,000</w:t>
            </w:r>
          </w:p>
        </w:tc>
        <w:tc>
          <w:tcPr>
            <w:tcW w:type="dxa" w:w="5184"/>
            <w:shd w:val="clear" w:color="auto" w:fill="F0F4F0"/>
            <w:vAlign w:val="center"/>
          </w:tcPr>
          <w:p>
            <w:pPr>
              <w:jc w:val="left"/>
            </w:pPr>
            <w:r>
              <w:rPr>
                <w:rFonts w:ascii="Calibri" w:hAnsi="Calibri"/>
                <w:color w:val="0A0A0A"/>
                <w:sz w:val="19"/>
              </w:rPr>
              <w:t>6-month performance period</w:t>
            </w:r>
          </w:p>
        </w:tc>
      </w:tr>
      <w:tr>
        <w:tc>
          <w:tcPr>
            <w:tcW w:type="dxa" w:w="3600"/>
            <w:vAlign w:val="center"/>
          </w:tcPr>
          <w:p>
            <w:pPr>
              <w:jc w:val="left"/>
            </w:pPr>
            <w:r>
              <w:rPr>
                <w:rFonts w:ascii="Calibri" w:hAnsi="Calibri"/>
                <w:color w:val="0A0A0A"/>
                <w:sz w:val="19"/>
              </w:rPr>
              <w:t>SBIR Phase II Award</w:t>
            </w:r>
          </w:p>
        </w:tc>
        <w:tc>
          <w:tcPr>
            <w:tcW w:type="dxa" w:w="2304"/>
            <w:vAlign w:val="center"/>
          </w:tcPr>
          <w:p>
            <w:pPr>
              <w:jc w:val="left"/>
            </w:pPr>
            <w:r>
              <w:rPr>
                <w:rFonts w:ascii="Calibri" w:hAnsi="Calibri"/>
                <w:color w:val="0A0A0A"/>
                <w:sz w:val="19"/>
              </w:rPr>
              <w:t>Up to $1,000,000</w:t>
            </w:r>
          </w:p>
        </w:tc>
        <w:tc>
          <w:tcPr>
            <w:tcW w:type="dxa" w:w="5184"/>
            <w:vAlign w:val="center"/>
          </w:tcPr>
          <w:p>
            <w:pPr>
              <w:jc w:val="left"/>
            </w:pPr>
            <w:r>
              <w:rPr>
                <w:rFonts w:ascii="Calibri" w:hAnsi="Calibri"/>
                <w:color w:val="0A0A0A"/>
                <w:sz w:val="19"/>
              </w:rPr>
              <w:t>2-year performance period</w:t>
            </w:r>
          </w:p>
        </w:tc>
      </w:tr>
      <w:tr>
        <w:tc>
          <w:tcPr>
            <w:tcW w:type="dxa" w:w="3600"/>
            <w:shd w:val="clear" w:color="auto" w:fill="F0F4F0"/>
            <w:vAlign w:val="center"/>
          </w:tcPr>
          <w:p>
            <w:pPr>
              <w:jc w:val="left"/>
            </w:pPr>
            <w:r>
              <w:rPr>
                <w:rFonts w:ascii="Calibri" w:hAnsi="Calibri"/>
                <w:color w:val="0A0A0A"/>
                <w:sz w:val="19"/>
              </w:rPr>
              <w:t>Sub-commands</w:t>
            </w:r>
          </w:p>
        </w:tc>
        <w:tc>
          <w:tcPr>
            <w:tcW w:type="dxa" w:w="2304"/>
            <w:shd w:val="clear" w:color="auto" w:fill="F0F4F0"/>
            <w:vAlign w:val="center"/>
          </w:tcPr>
          <w:p>
            <w:pPr>
              <w:jc w:val="left"/>
            </w:pPr>
            <w:r>
              <w:rPr>
                <w:rFonts w:ascii="Calibri" w:hAnsi="Calibri"/>
                <w:color w:val="0A0A0A"/>
                <w:sz w:val="19"/>
              </w:rPr>
              <w:t>5</w:t>
            </w:r>
          </w:p>
        </w:tc>
        <w:tc>
          <w:tcPr>
            <w:tcW w:type="dxa" w:w="5184"/>
            <w:shd w:val="clear" w:color="auto" w:fill="F0F4F0"/>
            <w:vAlign w:val="center"/>
          </w:tcPr>
          <w:p>
            <w:pPr>
              <w:jc w:val="left"/>
            </w:pPr>
            <w:r>
              <w:rPr>
                <w:rFonts w:ascii="Calibri" w:hAnsi="Calibri"/>
                <w:color w:val="0A0A0A"/>
                <w:sz w:val="19"/>
              </w:rPr>
              <w:t>USASOC, NAVSOC, AFSOC, MARSOC, JSOC</w:t>
            </w:r>
          </w:p>
        </w:tc>
      </w:tr>
    </w:tbl>
    <w:p/>
    <w:p>
      <w:pPr>
        <w:spacing w:before="160" w:after="40"/>
      </w:pPr>
      <w:r>
        <w:rPr>
          <w:rFonts w:ascii="Calibri" w:hAnsi="Calibri"/>
          <w:b/>
          <w:color w:val="1A4A7A"/>
          <w:sz w:val="22"/>
        </w:rPr>
        <w:t>What They Need</w:t>
      </w:r>
    </w:p>
    <w:p>
      <w:pPr>
        <w:spacing w:after="120"/>
      </w:pPr>
      <w:r>
        <w:rPr>
          <w:rFonts w:ascii="Calibri" w:hAnsi="Calibri"/>
          <w:color w:val="0A0A0A"/>
          <w:sz w:val="21"/>
        </w:rPr>
        <w:t>Small SOCOM teams operating for days or weeks near power infrastructure (roads, villages, allied bases) currently have no way to tap existing grid energy without Chargebotic. A compact, autonomous system that silently perches on a power line and delivers continuous energy eliminates the need for fuel resupply in the most dangerous operational environments.</w:t>
      </w:r>
    </w:p>
    <w:p>
      <w:pPr>
        <w:spacing w:before="160" w:after="40"/>
      </w:pPr>
      <w:r>
        <w:rPr>
          <w:rFonts w:ascii="Calibri" w:hAnsi="Calibri"/>
          <w:b/>
          <w:color w:val="1A4A7A"/>
          <w:sz w:val="22"/>
        </w:rPr>
        <w:t>How They Buy</w:t>
      </w:r>
    </w:p>
    <w:p>
      <w:pPr>
        <w:pStyle w:val="ListBullet"/>
        <w:spacing w:after="60"/>
        <w:ind w:left="432"/>
      </w:pPr>
      <w:r>
        <w:rPr>
          <w:rFonts w:ascii="Calibri" w:hAnsi="Calibri"/>
          <w:b/>
          <w:color w:val="D47E0F"/>
          <w:sz w:val="21"/>
        </w:rPr>
        <w:t>SOCOM SBIR</w:t>
      </w:r>
    </w:p>
    <w:p>
      <w:pPr>
        <w:spacing w:after="40"/>
      </w:pPr>
      <w:r>
        <w:rPr>
          <w:rFonts w:ascii="Calibri" w:hAnsi="Calibri"/>
          <w:color w:val="0A0A0A"/>
          <w:sz w:val="21"/>
        </w:rPr>
        <w:t xml:space="preserve">    Phase I = $150K / 6 months. Phase II = up to $1M / 2 years. SOCOM runs its own SBIR program independently.</w:t>
      </w:r>
    </w:p>
    <w:p>
      <w:pPr>
        <w:pStyle w:val="ListBullet"/>
        <w:spacing w:after="60"/>
        <w:ind w:left="432"/>
      </w:pPr>
      <w:r>
        <w:rPr>
          <w:rFonts w:ascii="Calibri" w:hAnsi="Calibri"/>
          <w:b/>
          <w:color w:val="D47E0F"/>
          <w:sz w:val="21"/>
        </w:rPr>
        <w:t>SOF AT&amp;L (Acquisition, Technology and Logistics)</w:t>
      </w:r>
    </w:p>
    <w:p>
      <w:pPr>
        <w:spacing w:after="40"/>
      </w:pPr>
      <w:r>
        <w:rPr>
          <w:rFonts w:ascii="Calibri" w:hAnsi="Calibri"/>
          <w:color w:val="0A0A0A"/>
          <w:sz w:val="21"/>
        </w:rPr>
        <w:t xml:space="preserve">    Streamlined acquisitions office. SOCOM acquisitions move significantly faster than conventional Army.</w:t>
      </w:r>
    </w:p>
    <w:p>
      <w:pPr>
        <w:pStyle w:val="ListBullet"/>
        <w:spacing w:after="60"/>
        <w:ind w:left="432"/>
      </w:pPr>
      <w:r>
        <w:rPr>
          <w:rFonts w:ascii="Calibri" w:hAnsi="Calibri"/>
          <w:b/>
          <w:color w:val="D47E0F"/>
          <w:sz w:val="21"/>
        </w:rPr>
        <w:t>SOFWERX</w:t>
      </w:r>
    </w:p>
    <w:p>
      <w:pPr>
        <w:spacing w:after="40"/>
      </w:pPr>
      <w:r>
        <w:rPr>
          <w:rFonts w:ascii="Calibri" w:hAnsi="Calibri"/>
          <w:color w:val="0A0A0A"/>
          <w:sz w:val="21"/>
        </w:rPr>
        <w:t xml:space="preserve">    SOCOM's rapid innovation hub in Tampa, FL. Direct engagement with SOF AT&amp;L decision-makers. No prime contractor required.</w:t>
      </w:r>
    </w:p>
    <w:p>
      <w:pPr>
        <w:spacing w:before="120" w:after="120"/>
        <w:ind w:left="432" w:right="432"/>
        <w:pBdr>
          <w:top w:val="single" w:sz="12" w:space="4" w:color="D4810F"/>
          <w:bottom w:val="single" w:sz="12" w:space="4" w:color="D4810F"/>
          <w:left w:val="single" w:sz="12" w:space="4" w:color="D4810F"/>
          <w:right w:val="single" w:sz="12" w:space="4" w:color="D4810F"/>
        </w:pBdr>
      </w:pPr>
      <w:r>
        <w:rPr>
          <w:rFonts w:ascii="Calibri" w:hAnsi="Calibri"/>
          <w:i/>
          <w:color w:val="0A0A0A"/>
          <w:sz w:val="21"/>
        </w:rPr>
        <w:t>PRIORITY NOTE:  SOCOM should be contacted in parallel with the Army SBIR — not sequentially. Their independent acquisition authority and faster timelines make them the highest-leverage first engagement on the government-direct track.</w:t>
      </w:r>
    </w:p>
    <w:p>
      <w:pPr>
        <w:spacing w:before="240" w:after="60"/>
      </w:pPr>
      <w:r>
        <w:rPr>
          <w:rFonts w:ascii="Calibri" w:hAnsi="Calibri"/>
          <w:b/>
          <w:color w:val="1A1A2E"/>
          <w:sz w:val="24"/>
        </w:rPr>
        <w:t>3.3 US Marine Corps — Secondary Customer</w:t>
      </w:r>
    </w:p>
    <w:p>
      <w:pPr>
        <w:spacing w:before="160" w:after="40"/>
      </w:pPr>
      <w:r>
        <w:rPr>
          <w:rFonts w:ascii="Calibri" w:hAnsi="Calibri"/>
          <w:b/>
          <w:color w:val="1A4A7A"/>
          <w:sz w:val="22"/>
        </w:rPr>
        <w:t>Who They Are</w:t>
      </w:r>
    </w:p>
    <w:p>
      <w:pPr>
        <w:spacing w:after="120"/>
      </w:pPr>
      <w:r>
        <w:rPr>
          <w:rFonts w:ascii="Calibri" w:hAnsi="Calibri"/>
          <w:color w:val="0A0A0A"/>
          <w:sz w:val="21"/>
        </w:rPr>
        <w:t>The Marine Corps is the US expeditionary force-in-readiness, optimized for rapid deployment from sea to shore. Marine Expeditionary Units (MEUs) operate with minimal logistics tail and must establish FOB power quickly before supply chains are established. The USMC has been among the most vocal military branches about reducing fuel dependency (formal USMC FOB Energy program).</w:t>
      </w:r>
    </w:p>
    <w:p>
      <w:pPr>
        <w:spacing w:before="160" w:after="40"/>
      </w:pPr>
      <w:r>
        <w:rPr>
          <w:rFonts w:ascii="Calibri" w:hAnsi="Calibri"/>
          <w:b/>
          <w:color w:val="1A4A7A"/>
          <w:sz w:val="22"/>
        </w:rPr>
        <w:t>Key Numbers</w:t>
      </w:r>
    </w:p>
    <w:tbl>
      <w:tblPr>
        <w:tblStyle w:val="TableGrid"/>
        <w:tblW w:type="auto" w:w="0"/>
        <w:jc w:val="center"/>
        <w:tblLook w:firstColumn="1" w:firstRow="1" w:lastColumn="0" w:lastRow="0" w:noHBand="0" w:noVBand="1" w:val="04A0"/>
      </w:tblPr>
      <w:tblGrid>
        <w:gridCol w:w="3024"/>
        <w:gridCol w:w="3024"/>
        <w:gridCol w:w="3024"/>
      </w:tblGrid>
      <w:tr>
        <w:tc>
          <w:tcPr>
            <w:tcW w:type="dxa" w:w="4320"/>
            <w:shd w:val="clear" w:color="auto" w:fill="1A2E1A"/>
            <w:vAlign w:val="center"/>
          </w:tcPr>
          <w:p>
            <w:pPr>
              <w:jc w:val="left"/>
            </w:pPr>
            <w:r>
              <w:rPr>
                <w:rFonts w:ascii="Calibri" w:hAnsi="Calibri"/>
                <w:b/>
                <w:color w:val="FFFFFF"/>
                <w:sz w:val="18"/>
              </w:rPr>
              <w:t>METRIC</w:t>
            </w:r>
          </w:p>
        </w:tc>
        <w:tc>
          <w:tcPr>
            <w:tcW w:type="dxa" w:w="2304"/>
            <w:shd w:val="clear" w:color="auto" w:fill="1A2E1A"/>
            <w:vAlign w:val="center"/>
          </w:tcPr>
          <w:p>
            <w:pPr>
              <w:jc w:val="left"/>
            </w:pPr>
            <w:r>
              <w:rPr>
                <w:rFonts w:ascii="Calibri" w:hAnsi="Calibri"/>
                <w:b/>
                <w:color w:val="FFFFFF"/>
                <w:sz w:val="18"/>
              </w:rPr>
              <w:t>FIGURE</w:t>
            </w:r>
          </w:p>
        </w:tc>
        <w:tc>
          <w:tcPr>
            <w:tcW w:type="dxa" w:w="4464"/>
            <w:shd w:val="clear" w:color="auto" w:fill="1A2E1A"/>
            <w:vAlign w:val="center"/>
          </w:tcPr>
          <w:p>
            <w:pPr>
              <w:jc w:val="left"/>
            </w:pPr>
            <w:r>
              <w:rPr>
                <w:rFonts w:ascii="Calibri" w:hAnsi="Calibri"/>
                <w:b/>
                <w:color w:val="FFFFFF"/>
                <w:sz w:val="18"/>
              </w:rPr>
              <w:t>NOTES</w:t>
            </w:r>
          </w:p>
        </w:tc>
      </w:tr>
      <w:tr>
        <w:tc>
          <w:tcPr>
            <w:tcW w:type="dxa" w:w="4320"/>
            <w:vAlign w:val="center"/>
          </w:tcPr>
          <w:p>
            <w:pPr>
              <w:jc w:val="left"/>
            </w:pPr>
            <w:r>
              <w:rPr>
                <w:rFonts w:ascii="Calibri" w:hAnsi="Calibri"/>
                <w:color w:val="0A0A0A"/>
                <w:sz w:val="19"/>
              </w:rPr>
              <w:t>Active Marine Expeditionary Units</w:t>
            </w:r>
          </w:p>
        </w:tc>
        <w:tc>
          <w:tcPr>
            <w:tcW w:type="dxa" w:w="2304"/>
            <w:vAlign w:val="center"/>
          </w:tcPr>
          <w:p>
            <w:pPr>
              <w:jc w:val="left"/>
            </w:pPr>
            <w:r>
              <w:rPr>
                <w:rFonts w:ascii="Calibri" w:hAnsi="Calibri"/>
                <w:color w:val="0A0A0A"/>
                <w:sz w:val="19"/>
              </w:rPr>
              <w:t>7</w:t>
            </w:r>
          </w:p>
        </w:tc>
        <w:tc>
          <w:tcPr>
            <w:tcW w:type="dxa" w:w="4464"/>
            <w:vAlign w:val="center"/>
          </w:tcPr>
          <w:p>
            <w:pPr>
              <w:jc w:val="left"/>
            </w:pPr>
            <w:r>
              <w:rPr>
                <w:rFonts w:ascii="Calibri" w:hAnsi="Calibri"/>
                <w:color w:val="0A0A0A"/>
                <w:sz w:val="19"/>
              </w:rPr>
              <w:t>Primary rapid-deployment operational units</w:t>
            </w:r>
          </w:p>
        </w:tc>
      </w:tr>
      <w:tr>
        <w:tc>
          <w:tcPr>
            <w:tcW w:type="dxa" w:w="4320"/>
            <w:shd w:val="clear" w:color="auto" w:fill="F0F4F0"/>
            <w:vAlign w:val="center"/>
          </w:tcPr>
          <w:p>
            <w:pPr>
              <w:jc w:val="left"/>
            </w:pPr>
            <w:r>
              <w:rPr>
                <w:rFonts w:ascii="Calibri" w:hAnsi="Calibri"/>
                <w:color w:val="0A0A0A"/>
                <w:sz w:val="19"/>
              </w:rPr>
              <w:t>Total Active Marines</w:t>
            </w:r>
          </w:p>
        </w:tc>
        <w:tc>
          <w:tcPr>
            <w:tcW w:type="dxa" w:w="2304"/>
            <w:shd w:val="clear" w:color="auto" w:fill="F0F4F0"/>
            <w:vAlign w:val="center"/>
          </w:tcPr>
          <w:p>
            <w:pPr>
              <w:jc w:val="left"/>
            </w:pPr>
            <w:r>
              <w:rPr>
                <w:rFonts w:ascii="Calibri" w:hAnsi="Calibri"/>
                <w:color w:val="0A0A0A"/>
                <w:sz w:val="19"/>
              </w:rPr>
              <w:t>~177,000</w:t>
            </w:r>
          </w:p>
        </w:tc>
        <w:tc>
          <w:tcPr>
            <w:tcW w:type="dxa" w:w="4464"/>
            <w:shd w:val="clear" w:color="auto" w:fill="F0F4F0"/>
            <w:vAlign w:val="center"/>
          </w:tcPr>
          <w:p>
            <w:pPr>
              <w:jc w:val="left"/>
            </w:pPr>
            <w:r>
              <w:rPr>
                <w:rFonts w:ascii="Calibri" w:hAnsi="Calibri"/>
                <w:color w:val="0A0A0A"/>
                <w:sz w:val="19"/>
              </w:rPr>
              <w:t>As of 2024</w:t>
            </w:r>
          </w:p>
        </w:tc>
      </w:tr>
      <w:tr>
        <w:tc>
          <w:tcPr>
            <w:tcW w:type="dxa" w:w="4320"/>
            <w:vAlign w:val="center"/>
          </w:tcPr>
          <w:p>
            <w:pPr>
              <w:jc w:val="left"/>
            </w:pPr>
            <w:r>
              <w:rPr>
                <w:rFonts w:ascii="Calibri" w:hAnsi="Calibri"/>
                <w:color w:val="0A0A0A"/>
                <w:sz w:val="19"/>
              </w:rPr>
              <w:t>Procurement Office</w:t>
            </w:r>
          </w:p>
        </w:tc>
        <w:tc>
          <w:tcPr>
            <w:tcW w:type="dxa" w:w="2304"/>
            <w:vAlign w:val="center"/>
          </w:tcPr>
          <w:p>
            <w:pPr>
              <w:jc w:val="left"/>
            </w:pPr>
            <w:r>
              <w:rPr>
                <w:rFonts w:ascii="Calibri" w:hAnsi="Calibri"/>
                <w:color w:val="0A0A0A"/>
                <w:sz w:val="19"/>
              </w:rPr>
              <w:t>MARCORSYSCOM</w:t>
            </w:r>
          </w:p>
        </w:tc>
        <w:tc>
          <w:tcPr>
            <w:tcW w:type="dxa" w:w="4464"/>
            <w:vAlign w:val="center"/>
          </w:tcPr>
          <w:p>
            <w:pPr>
              <w:jc w:val="left"/>
            </w:pPr>
            <w:r>
              <w:rPr>
                <w:rFonts w:ascii="Calibri" w:hAnsi="Calibri"/>
                <w:color w:val="0A0A0A"/>
                <w:sz w:val="19"/>
              </w:rPr>
              <w:t>Marine Corps Systems Command</w:t>
            </w:r>
          </w:p>
        </w:tc>
      </w:tr>
      <w:tr>
        <w:tc>
          <w:tcPr>
            <w:tcW w:type="dxa" w:w="4320"/>
            <w:shd w:val="clear" w:color="auto" w:fill="F0F4F0"/>
            <w:vAlign w:val="center"/>
          </w:tcPr>
          <w:p>
            <w:pPr>
              <w:jc w:val="left"/>
            </w:pPr>
            <w:r>
              <w:rPr>
                <w:rFonts w:ascii="Calibri" w:hAnsi="Calibri"/>
                <w:color w:val="0A0A0A"/>
                <w:sz w:val="19"/>
              </w:rPr>
              <w:t>Co-procurement</w:t>
            </w:r>
          </w:p>
        </w:tc>
        <w:tc>
          <w:tcPr>
            <w:tcW w:type="dxa" w:w="2304"/>
            <w:shd w:val="clear" w:color="auto" w:fill="F0F4F0"/>
            <w:vAlign w:val="center"/>
          </w:tcPr>
          <w:p>
            <w:pPr>
              <w:jc w:val="left"/>
            </w:pPr>
            <w:r>
              <w:rPr>
                <w:rFonts w:ascii="Calibri" w:hAnsi="Calibri"/>
                <w:color w:val="0A0A0A"/>
                <w:sz w:val="19"/>
              </w:rPr>
              <w:t>Common</w:t>
            </w:r>
          </w:p>
        </w:tc>
        <w:tc>
          <w:tcPr>
            <w:tcW w:type="dxa" w:w="4464"/>
            <w:shd w:val="clear" w:color="auto" w:fill="F0F4F0"/>
            <w:vAlign w:val="center"/>
          </w:tcPr>
          <w:p>
            <w:pPr>
              <w:jc w:val="left"/>
            </w:pPr>
            <w:r>
              <w:rPr>
                <w:rFonts w:ascii="Calibri" w:hAnsi="Calibri"/>
                <w:color w:val="0A0A0A"/>
                <w:sz w:val="19"/>
              </w:rPr>
              <w:t>Often buys jointly with Army on shared programs</w:t>
            </w:r>
          </w:p>
        </w:tc>
      </w:tr>
    </w:tbl>
    <w:p/>
    <w:p>
      <w:pPr>
        <w:spacing w:before="160" w:after="40"/>
      </w:pPr>
      <w:r>
        <w:rPr>
          <w:rFonts w:ascii="Calibri" w:hAnsi="Calibri"/>
          <w:b/>
          <w:color w:val="1A4A7A"/>
          <w:sz w:val="22"/>
        </w:rPr>
        <w:t>What They Need</w:t>
      </w:r>
    </w:p>
    <w:p>
      <w:pPr>
        <w:spacing w:after="120"/>
      </w:pPr>
      <w:r>
        <w:rPr>
          <w:rFonts w:ascii="Calibri" w:hAnsi="Calibri"/>
          <w:color w:val="0A0A0A"/>
          <w:sz w:val="21"/>
        </w:rPr>
        <w:t>MEUs go ashore and establish expeditionary FOBs in coastal and near-urban environments — which almost always have overhead power line infrastructure nearby. Chargebotic enables immediate power establishment without waiting for fuel logistics, directly supporting the Marine expeditionary doctrine of self-sufficiency in the first 72 hours.</w:t>
      </w:r>
    </w:p>
    <w:p>
      <w:pPr>
        <w:spacing w:before="240" w:after="60"/>
      </w:pPr>
      <w:r>
        <w:rPr>
          <w:rFonts w:ascii="Calibri" w:hAnsi="Calibri"/>
          <w:b/>
          <w:color w:val="1A1A2E"/>
          <w:sz w:val="24"/>
        </w:rPr>
        <w:t>3.4 Allied Forces and NATO Partners — International Expansion</w:t>
      </w:r>
    </w:p>
    <w:p>
      <w:pPr>
        <w:spacing w:after="120"/>
      </w:pPr>
      <w:r>
        <w:rPr>
          <w:rFonts w:ascii="Calibri" w:hAnsi="Calibri"/>
          <w:color w:val="0A0A0A"/>
          <w:sz w:val="21"/>
        </w:rPr>
        <w:t>The US has 32 NATO member allies and key Pacific partners (Japan, South Korea, Australia) operating on the same doctrine and facing the same energy logistics problem. A US DoD-validated Chargebotic product accesses this international market through Foreign Military Sales (FMS) — a US government-managed sales mechanism — or through direct commercial export with proper ITAR licensing. The international multiplier is estimated at approximately 3× the US market for a validated product.</w:t>
      </w:r>
    </w:p>
    <w:p>
      <w:r>
        <w:br w:type="page"/>
      </w:r>
    </w:p>
    <w:p>
      <w:pPr>
        <w:spacing w:before="360" w:after="80"/>
        <w:pBdr>
          <w:bottom w:val="single" w:sz="8" w:space="1" w:color="D4810F"/>
        </w:pBdr>
      </w:pPr>
      <w:r>
        <w:rPr>
          <w:rFonts w:ascii="Calibri" w:hAnsi="Calibri"/>
          <w:b/>
          <w:color w:val="D47E0F"/>
          <w:sz w:val="30"/>
        </w:rPr>
        <w:t>4. B2B2G STRATEGY — SELLING THROUGH DEFENSE TECH PRIMES</w:t>
      </w:r>
    </w:p>
    <w:p>
      <w:pPr>
        <w:spacing w:after="120"/>
      </w:pPr>
      <w:r>
        <w:rPr>
          <w:rFonts w:ascii="Calibri" w:hAnsi="Calibri"/>
          <w:color w:val="0A0A0A"/>
          <w:sz w:val="21"/>
        </w:rPr>
        <w:t>In parallel with direct government procurement (SBIR/OTA), Chargebotic can accelerate revenue and market entry by selling its technology to private defense tech companies that already hold open government contracts. These companies integrate Chargebotic as a power source add-on and sell the combined solution to the DoD under their existing contract vehicles. This is called a Business-to-Business-to-Government (B2B2G) strategy.</w:t>
      </w:r>
    </w:p>
    <w:p>
      <w:pPr>
        <w:spacing w:before="240" w:after="60"/>
      </w:pPr>
      <w:r>
        <w:rPr>
          <w:rFonts w:ascii="Calibri" w:hAnsi="Calibri"/>
          <w:b/>
          <w:color w:val="1A1A2E"/>
          <w:sz w:val="24"/>
        </w:rPr>
        <w:t>4.1 Why B2B2G Is the Faster Path</w:t>
      </w:r>
    </w:p>
    <w:tbl>
      <w:tblPr>
        <w:tblStyle w:val="TableGrid"/>
        <w:tblW w:type="auto" w:w="0"/>
        <w:jc w:val="center"/>
        <w:tblLook w:firstColumn="1" w:firstRow="1" w:lastColumn="0" w:lastRow="0" w:noHBand="0" w:noVBand="1" w:val="04A0"/>
      </w:tblPr>
      <w:tblGrid>
        <w:gridCol w:w="3024"/>
        <w:gridCol w:w="3024"/>
        <w:gridCol w:w="3024"/>
      </w:tblGrid>
      <w:tr>
        <w:tc>
          <w:tcPr>
            <w:tcW w:type="dxa" w:w="3168"/>
            <w:shd w:val="clear" w:color="auto" w:fill="1A2E1A"/>
            <w:vAlign w:val="center"/>
          </w:tcPr>
          <w:p>
            <w:pPr>
              <w:jc w:val="left"/>
            </w:pPr>
            <w:r>
              <w:rPr>
                <w:rFonts w:ascii="Calibri" w:hAnsi="Calibri"/>
                <w:b/>
                <w:color w:val="FFFFFF"/>
                <w:sz w:val="18"/>
              </w:rPr>
              <w:t>FACTOR</w:t>
            </w:r>
          </w:p>
        </w:tc>
        <w:tc>
          <w:tcPr>
            <w:tcW w:type="dxa" w:w="2592"/>
            <w:shd w:val="clear" w:color="auto" w:fill="1A2E1A"/>
            <w:vAlign w:val="center"/>
          </w:tcPr>
          <w:p>
            <w:pPr>
              <w:jc w:val="left"/>
            </w:pPr>
            <w:r>
              <w:rPr>
                <w:rFonts w:ascii="Calibri" w:hAnsi="Calibri"/>
                <w:b/>
                <w:color w:val="FFFFFF"/>
                <w:sz w:val="18"/>
              </w:rPr>
              <w:t>DIRECT TO DOD</w:t>
            </w:r>
          </w:p>
        </w:tc>
        <w:tc>
          <w:tcPr>
            <w:tcW w:type="dxa" w:w="4032"/>
            <w:shd w:val="clear" w:color="auto" w:fill="1A2E1A"/>
            <w:vAlign w:val="center"/>
          </w:tcPr>
          <w:p>
            <w:pPr>
              <w:jc w:val="left"/>
            </w:pPr>
            <w:r>
              <w:rPr>
                <w:rFonts w:ascii="Calibri" w:hAnsi="Calibri"/>
                <w:b/>
                <w:color w:val="FFFFFF"/>
                <w:sz w:val="18"/>
              </w:rPr>
              <w:t>B2B2G THROUGH PRIMES</w:t>
            </w:r>
          </w:p>
        </w:tc>
      </w:tr>
      <w:tr>
        <w:tc>
          <w:tcPr>
            <w:tcW w:type="dxa" w:w="3168"/>
            <w:vAlign w:val="center"/>
          </w:tcPr>
          <w:p>
            <w:pPr>
              <w:jc w:val="left"/>
            </w:pPr>
            <w:r>
              <w:rPr>
                <w:rFonts w:ascii="Calibri" w:hAnsi="Calibri"/>
                <w:color w:val="0A0A0A"/>
                <w:sz w:val="19"/>
              </w:rPr>
              <w:t>Time to first contract</w:t>
            </w:r>
          </w:p>
        </w:tc>
        <w:tc>
          <w:tcPr>
            <w:tcW w:type="dxa" w:w="2592"/>
            <w:vAlign w:val="center"/>
          </w:tcPr>
          <w:p>
            <w:pPr>
              <w:jc w:val="left"/>
            </w:pPr>
            <w:r>
              <w:rPr>
                <w:rFonts w:ascii="Calibri" w:hAnsi="Calibri"/>
                <w:color w:val="0A0A0A"/>
                <w:sz w:val="19"/>
              </w:rPr>
              <w:t>18–36 months</w:t>
            </w:r>
          </w:p>
        </w:tc>
        <w:tc>
          <w:tcPr>
            <w:tcW w:type="dxa" w:w="4032"/>
            <w:vAlign w:val="center"/>
          </w:tcPr>
          <w:p>
            <w:pPr>
              <w:jc w:val="left"/>
            </w:pPr>
            <w:r>
              <w:rPr>
                <w:rFonts w:ascii="Calibri" w:hAnsi="Calibri"/>
                <w:color w:val="0A0A0A"/>
                <w:sz w:val="19"/>
              </w:rPr>
              <w:t>3–9 months</w:t>
            </w:r>
          </w:p>
        </w:tc>
      </w:tr>
      <w:tr>
        <w:tc>
          <w:tcPr>
            <w:tcW w:type="dxa" w:w="3168"/>
            <w:shd w:val="clear" w:color="auto" w:fill="F0F4F0"/>
            <w:vAlign w:val="center"/>
          </w:tcPr>
          <w:p>
            <w:pPr>
              <w:jc w:val="left"/>
            </w:pPr>
            <w:r>
              <w:rPr>
                <w:rFonts w:ascii="Calibri" w:hAnsi="Calibri"/>
                <w:color w:val="0A0A0A"/>
                <w:sz w:val="19"/>
              </w:rPr>
              <w:t>Procurement complexity</w:t>
            </w:r>
          </w:p>
        </w:tc>
        <w:tc>
          <w:tcPr>
            <w:tcW w:type="dxa" w:w="2592"/>
            <w:shd w:val="clear" w:color="auto" w:fill="F0F4F0"/>
            <w:vAlign w:val="center"/>
          </w:tcPr>
          <w:p>
            <w:pPr>
              <w:jc w:val="left"/>
            </w:pPr>
            <w:r>
              <w:rPr>
                <w:rFonts w:ascii="Calibri" w:hAnsi="Calibri"/>
                <w:color w:val="0A0A0A"/>
                <w:sz w:val="19"/>
              </w:rPr>
              <w:t>Full FAR/SBIR</w:t>
            </w:r>
          </w:p>
        </w:tc>
        <w:tc>
          <w:tcPr>
            <w:tcW w:type="dxa" w:w="4032"/>
            <w:shd w:val="clear" w:color="auto" w:fill="F0F4F0"/>
            <w:vAlign w:val="center"/>
          </w:tcPr>
          <w:p>
            <w:pPr>
              <w:jc w:val="left"/>
            </w:pPr>
            <w:r>
              <w:rPr>
                <w:rFonts w:ascii="Calibri" w:hAnsi="Calibri"/>
                <w:color w:val="0A0A0A"/>
                <w:sz w:val="19"/>
              </w:rPr>
              <w:t>Partner handles it</w:t>
            </w:r>
          </w:p>
        </w:tc>
      </w:tr>
      <w:tr>
        <w:tc>
          <w:tcPr>
            <w:tcW w:type="dxa" w:w="3168"/>
            <w:vAlign w:val="center"/>
          </w:tcPr>
          <w:p>
            <w:pPr>
              <w:jc w:val="left"/>
            </w:pPr>
            <w:r>
              <w:rPr>
                <w:rFonts w:ascii="Calibri" w:hAnsi="Calibri"/>
                <w:color w:val="0A0A0A"/>
                <w:sz w:val="19"/>
              </w:rPr>
              <w:t>Gross margin</w:t>
            </w:r>
          </w:p>
        </w:tc>
        <w:tc>
          <w:tcPr>
            <w:tcW w:type="dxa" w:w="2592"/>
            <w:vAlign w:val="center"/>
          </w:tcPr>
          <w:p>
            <w:pPr>
              <w:jc w:val="left"/>
            </w:pPr>
            <w:r>
              <w:rPr>
                <w:rFonts w:ascii="Calibri" w:hAnsi="Calibri"/>
                <w:color w:val="0A0A0A"/>
                <w:sz w:val="19"/>
              </w:rPr>
              <w:t>Full (60–80%)</w:t>
            </w:r>
          </w:p>
        </w:tc>
        <w:tc>
          <w:tcPr>
            <w:tcW w:type="dxa" w:w="4032"/>
            <w:vAlign w:val="center"/>
          </w:tcPr>
          <w:p>
            <w:pPr>
              <w:jc w:val="left"/>
            </w:pPr>
            <w:r>
              <w:rPr>
                <w:rFonts w:ascii="Calibri" w:hAnsi="Calibri"/>
                <w:color w:val="0A0A0A"/>
                <w:sz w:val="19"/>
              </w:rPr>
              <w:t>Reduced (integrator takes 20–40%)</w:t>
            </w:r>
          </w:p>
        </w:tc>
      </w:tr>
      <w:tr>
        <w:tc>
          <w:tcPr>
            <w:tcW w:type="dxa" w:w="3168"/>
            <w:shd w:val="clear" w:color="auto" w:fill="F0F4F0"/>
            <w:vAlign w:val="center"/>
          </w:tcPr>
          <w:p>
            <w:pPr>
              <w:jc w:val="left"/>
            </w:pPr>
            <w:r>
              <w:rPr>
                <w:rFonts w:ascii="Calibri" w:hAnsi="Calibri"/>
                <w:color w:val="0A0A0A"/>
                <w:sz w:val="19"/>
              </w:rPr>
              <w:t>Revenue risk</w:t>
            </w:r>
          </w:p>
        </w:tc>
        <w:tc>
          <w:tcPr>
            <w:tcW w:type="dxa" w:w="2592"/>
            <w:shd w:val="clear" w:color="auto" w:fill="F0F4F0"/>
            <w:vAlign w:val="center"/>
          </w:tcPr>
          <w:p>
            <w:pPr>
              <w:jc w:val="left"/>
            </w:pPr>
            <w:r>
              <w:rPr>
                <w:rFonts w:ascii="Calibri" w:hAnsi="Calibri"/>
                <w:color w:val="0A0A0A"/>
                <w:sz w:val="19"/>
              </w:rPr>
              <w:t>High (long cycle)</w:t>
            </w:r>
          </w:p>
        </w:tc>
        <w:tc>
          <w:tcPr>
            <w:tcW w:type="dxa" w:w="4032"/>
            <w:shd w:val="clear" w:color="auto" w:fill="F0F4F0"/>
            <w:vAlign w:val="center"/>
          </w:tcPr>
          <w:p>
            <w:pPr>
              <w:jc w:val="left"/>
            </w:pPr>
            <w:r>
              <w:rPr>
                <w:rFonts w:ascii="Calibri" w:hAnsi="Calibri"/>
                <w:color w:val="0A0A0A"/>
                <w:sz w:val="19"/>
              </w:rPr>
              <w:t>Lower (partner already funded)</w:t>
            </w:r>
          </w:p>
        </w:tc>
      </w:tr>
      <w:tr>
        <w:tc>
          <w:tcPr>
            <w:tcW w:type="dxa" w:w="3168"/>
            <w:vAlign w:val="center"/>
          </w:tcPr>
          <w:p>
            <w:pPr>
              <w:jc w:val="left"/>
            </w:pPr>
            <w:r>
              <w:rPr>
                <w:rFonts w:ascii="Calibri" w:hAnsi="Calibri"/>
                <w:color w:val="0A0A0A"/>
                <w:sz w:val="19"/>
              </w:rPr>
              <w:t>DoD credibility</w:t>
            </w:r>
          </w:p>
        </w:tc>
        <w:tc>
          <w:tcPr>
            <w:tcW w:type="dxa" w:w="2592"/>
            <w:vAlign w:val="center"/>
          </w:tcPr>
          <w:p>
            <w:pPr>
              <w:jc w:val="left"/>
            </w:pPr>
            <w:r>
              <w:rPr>
                <w:rFonts w:ascii="Calibri" w:hAnsi="Calibri"/>
                <w:color w:val="0A0A0A"/>
                <w:sz w:val="19"/>
              </w:rPr>
              <w:t>Build from scratch</w:t>
            </w:r>
          </w:p>
        </w:tc>
        <w:tc>
          <w:tcPr>
            <w:tcW w:type="dxa" w:w="4032"/>
            <w:vAlign w:val="center"/>
          </w:tcPr>
          <w:p>
            <w:pPr>
              <w:jc w:val="left"/>
            </w:pPr>
            <w:r>
              <w:rPr>
                <w:rFonts w:ascii="Calibri" w:hAnsi="Calibri"/>
                <w:color w:val="0A0A0A"/>
                <w:sz w:val="19"/>
              </w:rPr>
              <w:t>Inherited from partner</w:t>
            </w:r>
          </w:p>
        </w:tc>
      </w:tr>
      <w:tr>
        <w:tc>
          <w:tcPr>
            <w:tcW w:type="dxa" w:w="3168"/>
            <w:shd w:val="clear" w:color="auto" w:fill="F0F4F0"/>
            <w:vAlign w:val="center"/>
          </w:tcPr>
          <w:p>
            <w:pPr>
              <w:jc w:val="left"/>
            </w:pPr>
            <w:r>
              <w:rPr>
                <w:rFonts w:ascii="Calibri" w:hAnsi="Calibri"/>
                <w:color w:val="0A0A0A"/>
                <w:sz w:val="19"/>
              </w:rPr>
              <w:t>IP risk</w:t>
            </w:r>
          </w:p>
        </w:tc>
        <w:tc>
          <w:tcPr>
            <w:tcW w:type="dxa" w:w="2592"/>
            <w:shd w:val="clear" w:color="auto" w:fill="F0F4F0"/>
            <w:vAlign w:val="center"/>
          </w:tcPr>
          <w:p>
            <w:pPr>
              <w:jc w:val="left"/>
            </w:pPr>
            <w:r>
              <w:rPr>
                <w:rFonts w:ascii="Calibri" w:hAnsi="Calibri"/>
                <w:color w:val="0A0A0A"/>
                <w:sz w:val="19"/>
              </w:rPr>
              <w:t>Low</w:t>
            </w:r>
          </w:p>
        </w:tc>
        <w:tc>
          <w:tcPr>
            <w:tcW w:type="dxa" w:w="4032"/>
            <w:shd w:val="clear" w:color="auto" w:fill="F0F4F0"/>
            <w:vAlign w:val="center"/>
          </w:tcPr>
          <w:p>
            <w:pPr>
              <w:jc w:val="left"/>
            </w:pPr>
            <w:r>
              <w:rPr>
                <w:rFonts w:ascii="Calibri" w:hAnsi="Calibri"/>
                <w:color w:val="0A0A0A"/>
                <w:sz w:val="19"/>
              </w:rPr>
              <w:t>Moderate (need NDA + patents first)</w:t>
            </w:r>
          </w:p>
        </w:tc>
      </w:tr>
      <w:tr>
        <w:tc>
          <w:tcPr>
            <w:tcW w:type="dxa" w:w="3168"/>
            <w:vAlign w:val="center"/>
          </w:tcPr>
          <w:p>
            <w:pPr>
              <w:jc w:val="left"/>
            </w:pPr>
            <w:r>
              <w:rPr>
                <w:rFonts w:ascii="Calibri" w:hAnsi="Calibri"/>
                <w:color w:val="0A0A0A"/>
                <w:sz w:val="19"/>
              </w:rPr>
              <w:t>Recommended approach</w:t>
            </w:r>
          </w:p>
        </w:tc>
        <w:tc>
          <w:tcPr>
            <w:tcW w:type="dxa" w:w="2592"/>
            <w:vAlign w:val="center"/>
          </w:tcPr>
          <w:p>
            <w:pPr>
              <w:jc w:val="left"/>
            </w:pPr>
            <w:r>
              <w:rPr>
                <w:rFonts w:ascii="Calibri" w:hAnsi="Calibri"/>
                <w:color w:val="0A0A0A"/>
                <w:sz w:val="19"/>
              </w:rPr>
              <w:t>Run in parallel</w:t>
            </w:r>
          </w:p>
        </w:tc>
        <w:tc>
          <w:tcPr>
            <w:tcW w:type="dxa" w:w="4032"/>
            <w:vAlign w:val="center"/>
          </w:tcPr>
          <w:p>
            <w:pPr>
              <w:jc w:val="left"/>
            </w:pPr>
            <w:r>
              <w:rPr>
                <w:rFonts w:ascii="Calibri" w:hAnsi="Calibri"/>
                <w:color w:val="0A0A0A"/>
                <w:sz w:val="19"/>
              </w:rPr>
              <w:t>Start here for speed</w:t>
            </w:r>
          </w:p>
        </w:tc>
      </w:tr>
    </w:tbl>
    <w:p/>
    <w:p>
      <w:pPr>
        <w:spacing w:before="240" w:after="60"/>
      </w:pPr>
      <w:r>
        <w:rPr>
          <w:rFonts w:ascii="Calibri" w:hAnsi="Calibri"/>
          <w:b/>
          <w:color w:val="1A1A2E"/>
          <w:sz w:val="24"/>
        </w:rPr>
        <w:t>4.2 B2B2G Target Companies</w:t>
      </w:r>
    </w:p>
    <w:p>
      <w:pPr>
        <w:spacing w:before="160" w:after="40"/>
      </w:pPr>
      <w:r>
        <w:rPr>
          <w:rFonts w:ascii="Calibri" w:hAnsi="Calibri"/>
          <w:b/>
          <w:color w:val="1A4A7A"/>
          <w:sz w:val="22"/>
        </w:rPr>
        <w:t>1. Chariot Defense  ·  PRIORITY #1</w:t>
      </w:r>
    </w:p>
    <w:p>
      <w:pPr>
        <w:spacing w:after="120"/>
      </w:pPr>
      <w:r>
        <w:rPr>
          <w:rFonts w:ascii="Calibri" w:hAnsi="Calibri"/>
          <w:color w:val="0A0A0A"/>
          <w:sz w:val="21"/>
        </w:rPr>
        <w:t>Chariot Defense is the single most important B2B2G target for Chargebotic. Founded in 2024, Chariot builds Amphora — a modular, software-defined battlefield power distribution system that senses, prioritizes, and routes electricity across mission-critical systems in real time. It reduces electronic signatures that would expose a unit's position. The critical gap: Chariot routes power but has no power source. Their Amphora system requires electricity to function. Chargebotic is that electricity source.</w:t>
      </w:r>
    </w:p>
    <w:tbl>
      <w:tblPr>
        <w:tblStyle w:val="TableGrid"/>
        <w:tblW w:type="auto" w:w="0"/>
        <w:jc w:val="center"/>
        <w:tblLook w:firstColumn="1" w:firstRow="1" w:lastColumn="0" w:lastRow="0" w:noHBand="0" w:noVBand="1" w:val="04A0"/>
      </w:tblPr>
      <w:tblGrid>
        <w:gridCol w:w="4536"/>
        <w:gridCol w:w="4536"/>
      </w:tblGrid>
      <w:tr>
        <w:tc>
          <w:tcPr>
            <w:tcW w:type="dxa" w:w="2592"/>
            <w:shd w:val="clear" w:color="auto" w:fill="1A2E1A"/>
            <w:vAlign w:val="center"/>
          </w:tcPr>
          <w:p>
            <w:pPr>
              <w:jc w:val="left"/>
            </w:pPr>
            <w:r>
              <w:rPr>
                <w:rFonts w:ascii="Calibri" w:hAnsi="Calibri"/>
                <w:b/>
                <w:color w:val="FFFFFF"/>
                <w:sz w:val="18"/>
              </w:rPr>
              <w:t>DETAIL</w:t>
            </w:r>
          </w:p>
        </w:tc>
        <w:tc>
          <w:tcPr>
            <w:tcW w:type="dxa" w:w="8496"/>
            <w:shd w:val="clear" w:color="auto" w:fill="1A2E1A"/>
            <w:vAlign w:val="center"/>
          </w:tcPr>
          <w:p>
            <w:pPr>
              <w:jc w:val="left"/>
            </w:pPr>
            <w:r>
              <w:rPr>
                <w:rFonts w:ascii="Calibri" w:hAnsi="Calibri"/>
                <w:b/>
                <w:color w:val="FFFFFF"/>
                <w:sz w:val="18"/>
              </w:rPr>
              <w:t>INFORMATION</w:t>
            </w:r>
          </w:p>
        </w:tc>
      </w:tr>
      <w:tr>
        <w:tc>
          <w:tcPr>
            <w:tcW w:type="dxa" w:w="2592"/>
            <w:vAlign w:val="center"/>
          </w:tcPr>
          <w:p>
            <w:pPr>
              <w:jc w:val="left"/>
            </w:pPr>
            <w:r>
              <w:rPr>
                <w:rFonts w:ascii="Calibri" w:hAnsi="Calibri"/>
                <w:color w:val="0A0A0A"/>
                <w:sz w:val="19"/>
              </w:rPr>
              <w:t>Founded</w:t>
            </w:r>
          </w:p>
        </w:tc>
        <w:tc>
          <w:tcPr>
            <w:tcW w:type="dxa" w:w="8496"/>
            <w:vAlign w:val="center"/>
          </w:tcPr>
          <w:p>
            <w:pPr>
              <w:jc w:val="left"/>
            </w:pPr>
            <w:r>
              <w:rPr>
                <w:rFonts w:ascii="Calibri" w:hAnsi="Calibri"/>
                <w:color w:val="0A0A0A"/>
                <w:sz w:val="19"/>
              </w:rPr>
              <w:t>2024</w:t>
            </w:r>
          </w:p>
        </w:tc>
      </w:tr>
      <w:tr>
        <w:tc>
          <w:tcPr>
            <w:tcW w:type="dxa" w:w="2592"/>
            <w:shd w:val="clear" w:color="auto" w:fill="F0F4F0"/>
            <w:vAlign w:val="center"/>
          </w:tcPr>
          <w:p>
            <w:pPr>
              <w:jc w:val="left"/>
            </w:pPr>
            <w:r>
              <w:rPr>
                <w:rFonts w:ascii="Calibri" w:hAnsi="Calibri"/>
                <w:color w:val="0A0A0A"/>
                <w:sz w:val="19"/>
              </w:rPr>
              <w:t>Stealth Exit</w:t>
            </w:r>
          </w:p>
        </w:tc>
        <w:tc>
          <w:tcPr>
            <w:tcW w:type="dxa" w:w="8496"/>
            <w:shd w:val="clear" w:color="auto" w:fill="F0F4F0"/>
            <w:vAlign w:val="center"/>
          </w:tcPr>
          <w:p>
            <w:pPr>
              <w:jc w:val="left"/>
            </w:pPr>
            <w:r>
              <w:rPr>
                <w:rFonts w:ascii="Calibri" w:hAnsi="Calibri"/>
                <w:color w:val="0A0A0A"/>
                <w:sz w:val="19"/>
              </w:rPr>
              <w:t>July 2025</w:t>
            </w:r>
          </w:p>
        </w:tc>
      </w:tr>
      <w:tr>
        <w:tc>
          <w:tcPr>
            <w:tcW w:type="dxa" w:w="2592"/>
            <w:vAlign w:val="center"/>
          </w:tcPr>
          <w:p>
            <w:pPr>
              <w:jc w:val="left"/>
            </w:pPr>
            <w:r>
              <w:rPr>
                <w:rFonts w:ascii="Calibri" w:hAnsi="Calibri"/>
                <w:color w:val="0A0A0A"/>
                <w:sz w:val="19"/>
              </w:rPr>
              <w:t>Seed Funding</w:t>
            </w:r>
          </w:p>
        </w:tc>
        <w:tc>
          <w:tcPr>
            <w:tcW w:type="dxa" w:w="8496"/>
            <w:vAlign w:val="center"/>
          </w:tcPr>
          <w:p>
            <w:pPr>
              <w:jc w:val="left"/>
            </w:pPr>
            <w:r>
              <w:rPr>
                <w:rFonts w:ascii="Calibri" w:hAnsi="Calibri"/>
                <w:color w:val="0A0A0A"/>
                <w:sz w:val="19"/>
              </w:rPr>
              <w:t>$8M led by General Catalyst and XYZ (July 2025)</w:t>
            </w:r>
          </w:p>
        </w:tc>
      </w:tr>
      <w:tr>
        <w:tc>
          <w:tcPr>
            <w:tcW w:type="dxa" w:w="2592"/>
            <w:shd w:val="clear" w:color="auto" w:fill="F0F4F0"/>
            <w:vAlign w:val="center"/>
          </w:tcPr>
          <w:p>
            <w:pPr>
              <w:jc w:val="left"/>
            </w:pPr>
            <w:r>
              <w:rPr>
                <w:rFonts w:ascii="Calibri" w:hAnsi="Calibri"/>
                <w:color w:val="0A0A0A"/>
                <w:sz w:val="19"/>
              </w:rPr>
              <w:t>Series A</w:t>
            </w:r>
          </w:p>
        </w:tc>
        <w:tc>
          <w:tcPr>
            <w:tcW w:type="dxa" w:w="8496"/>
            <w:shd w:val="clear" w:color="auto" w:fill="F0F4F0"/>
            <w:vAlign w:val="center"/>
          </w:tcPr>
          <w:p>
            <w:pPr>
              <w:jc w:val="left"/>
            </w:pPr>
            <w:r>
              <w:rPr>
                <w:rFonts w:ascii="Calibri" w:hAnsi="Calibri"/>
                <w:color w:val="0A0A0A"/>
                <w:sz w:val="19"/>
              </w:rPr>
              <w:t>$34M led by Andreessen Horowitz (a16z), February 2026</w:t>
            </w:r>
          </w:p>
        </w:tc>
      </w:tr>
      <w:tr>
        <w:tc>
          <w:tcPr>
            <w:tcW w:type="dxa" w:w="2592"/>
            <w:vAlign w:val="center"/>
          </w:tcPr>
          <w:p>
            <w:pPr>
              <w:jc w:val="left"/>
            </w:pPr>
            <w:r>
              <w:rPr>
                <w:rFonts w:ascii="Calibri" w:hAnsi="Calibri"/>
                <w:color w:val="0A0A0A"/>
                <w:sz w:val="19"/>
              </w:rPr>
              <w:t>Total Funding</w:t>
            </w:r>
          </w:p>
        </w:tc>
        <w:tc>
          <w:tcPr>
            <w:tcW w:type="dxa" w:w="8496"/>
            <w:vAlign w:val="center"/>
          </w:tcPr>
          <w:p>
            <w:pPr>
              <w:jc w:val="left"/>
            </w:pPr>
            <w:r>
              <w:rPr>
                <w:rFonts w:ascii="Calibri" w:hAnsi="Calibri"/>
                <w:color w:val="0A0A0A"/>
                <w:sz w:val="19"/>
              </w:rPr>
              <w:t>$41M</w:t>
            </w:r>
          </w:p>
        </w:tc>
      </w:tr>
      <w:tr>
        <w:tc>
          <w:tcPr>
            <w:tcW w:type="dxa" w:w="2592"/>
            <w:shd w:val="clear" w:color="auto" w:fill="F0F4F0"/>
            <w:vAlign w:val="center"/>
          </w:tcPr>
          <w:p>
            <w:pPr>
              <w:jc w:val="left"/>
            </w:pPr>
            <w:r>
              <w:rPr>
                <w:rFonts w:ascii="Calibri" w:hAnsi="Calibri"/>
                <w:color w:val="0A0A0A"/>
                <w:sz w:val="19"/>
              </w:rPr>
              <w:t>Other Investors</w:t>
            </w:r>
          </w:p>
        </w:tc>
        <w:tc>
          <w:tcPr>
            <w:tcW w:type="dxa" w:w="8496"/>
            <w:shd w:val="clear" w:color="auto" w:fill="F0F4F0"/>
            <w:vAlign w:val="center"/>
          </w:tcPr>
          <w:p>
            <w:pPr>
              <w:jc w:val="left"/>
            </w:pPr>
            <w:r>
              <w:rPr>
                <w:rFonts w:ascii="Calibri" w:hAnsi="Calibri"/>
                <w:color w:val="0A0A0A"/>
                <w:sz w:val="19"/>
              </w:rPr>
              <w:t>DCVC, LMNT, Marlinspike, Overmatch, Shield Capital, Ensemble, Trenches Capital</w:t>
            </w:r>
          </w:p>
        </w:tc>
      </w:tr>
      <w:tr>
        <w:tc>
          <w:tcPr>
            <w:tcW w:type="dxa" w:w="2592"/>
            <w:vAlign w:val="center"/>
          </w:tcPr>
          <w:p>
            <w:pPr>
              <w:jc w:val="left"/>
            </w:pPr>
            <w:r>
              <w:rPr>
                <w:rFonts w:ascii="Calibri" w:hAnsi="Calibri"/>
                <w:color w:val="0A0A0A"/>
                <w:sz w:val="19"/>
              </w:rPr>
              <w:t>Product</w:t>
            </w:r>
          </w:p>
        </w:tc>
        <w:tc>
          <w:tcPr>
            <w:tcW w:type="dxa" w:w="8496"/>
            <w:vAlign w:val="center"/>
          </w:tcPr>
          <w:p>
            <w:pPr>
              <w:jc w:val="left"/>
            </w:pPr>
            <w:r>
              <w:rPr>
                <w:rFonts w:ascii="Calibri" w:hAnsi="Calibri"/>
                <w:color w:val="0A0A0A"/>
                <w:sz w:val="19"/>
              </w:rPr>
              <w:t>Amphora — software-defined battlefield power distribution and routing</w:t>
            </w:r>
          </w:p>
        </w:tc>
      </w:tr>
      <w:tr>
        <w:tc>
          <w:tcPr>
            <w:tcW w:type="dxa" w:w="2592"/>
            <w:shd w:val="clear" w:color="auto" w:fill="F0F4F0"/>
            <w:vAlign w:val="center"/>
          </w:tcPr>
          <w:p>
            <w:pPr>
              <w:jc w:val="left"/>
            </w:pPr>
            <w:r>
              <w:rPr>
                <w:rFonts w:ascii="Calibri" w:hAnsi="Calibri"/>
                <w:color w:val="0A0A0A"/>
                <w:sz w:val="19"/>
              </w:rPr>
              <w:t>Traction</w:t>
            </w:r>
          </w:p>
        </w:tc>
        <w:tc>
          <w:tcPr>
            <w:tcW w:type="dxa" w:w="8496"/>
            <w:shd w:val="clear" w:color="auto" w:fill="F0F4F0"/>
            <w:vAlign w:val="center"/>
          </w:tcPr>
          <w:p>
            <w:pPr>
              <w:jc w:val="left"/>
            </w:pPr>
            <w:r>
              <w:rPr>
                <w:rFonts w:ascii="Calibri" w:hAnsi="Calibri"/>
                <w:color w:val="0A0A0A"/>
                <w:sz w:val="19"/>
              </w:rPr>
              <w:t>Fielded in force-on-force Army exercises within 6 months of founding</w:t>
            </w:r>
          </w:p>
        </w:tc>
      </w:tr>
      <w:tr>
        <w:tc>
          <w:tcPr>
            <w:tcW w:type="dxa" w:w="2592"/>
            <w:vAlign w:val="center"/>
          </w:tcPr>
          <w:p>
            <w:pPr>
              <w:jc w:val="left"/>
            </w:pPr>
            <w:r>
              <w:rPr>
                <w:rFonts w:ascii="Calibri" w:hAnsi="Calibri"/>
                <w:color w:val="0A0A0A"/>
                <w:sz w:val="19"/>
              </w:rPr>
              <w:t>Contracts</w:t>
            </w:r>
          </w:p>
        </w:tc>
        <w:tc>
          <w:tcPr>
            <w:tcW w:type="dxa" w:w="8496"/>
            <w:vAlign w:val="center"/>
          </w:tcPr>
          <w:p>
            <w:pPr>
              <w:jc w:val="left"/>
            </w:pPr>
            <w:r>
              <w:rPr>
                <w:rFonts w:ascii="Calibri" w:hAnsi="Calibri"/>
                <w:color w:val="0A0A0A"/>
                <w:sz w:val="19"/>
              </w:rPr>
              <w:t>Active sales and contracts with US Army and DIU Project GI</w:t>
            </w:r>
          </w:p>
        </w:tc>
      </w:tr>
      <w:tr>
        <w:tc>
          <w:tcPr>
            <w:tcW w:type="dxa" w:w="2592"/>
            <w:shd w:val="clear" w:color="auto" w:fill="F0F4F0"/>
            <w:vAlign w:val="center"/>
          </w:tcPr>
          <w:p>
            <w:pPr>
              <w:jc w:val="left"/>
            </w:pPr>
            <w:r>
              <w:rPr>
                <w:rFonts w:ascii="Calibri" w:hAnsi="Calibri"/>
                <w:color w:val="0A0A0A"/>
                <w:sz w:val="19"/>
              </w:rPr>
              <w:t>Revenue</w:t>
            </w:r>
          </w:p>
        </w:tc>
        <w:tc>
          <w:tcPr>
            <w:tcW w:type="dxa" w:w="8496"/>
            <w:shd w:val="clear" w:color="auto" w:fill="F0F4F0"/>
            <w:vAlign w:val="center"/>
          </w:tcPr>
          <w:p>
            <w:pPr>
              <w:jc w:val="left"/>
            </w:pPr>
            <w:r>
              <w:rPr>
                <w:rFonts w:ascii="Calibri" w:hAnsi="Calibri"/>
                <w:color w:val="0A0A0A"/>
                <w:sz w:val="19"/>
              </w:rPr>
              <w:t>Generating revenue within 12 months of founding</w:t>
            </w:r>
          </w:p>
        </w:tc>
      </w:tr>
      <w:tr>
        <w:tc>
          <w:tcPr>
            <w:tcW w:type="dxa" w:w="2592"/>
            <w:vAlign w:val="center"/>
          </w:tcPr>
          <w:p>
            <w:pPr>
              <w:jc w:val="left"/>
            </w:pPr>
            <w:r>
              <w:rPr>
                <w:rFonts w:ascii="Calibri" w:hAnsi="Calibri"/>
                <w:color w:val="0A0A0A"/>
                <w:sz w:val="19"/>
              </w:rPr>
              <w:t>HQ</w:t>
            </w:r>
          </w:p>
        </w:tc>
        <w:tc>
          <w:tcPr>
            <w:tcW w:type="dxa" w:w="8496"/>
            <w:vAlign w:val="center"/>
          </w:tcPr>
          <w:p>
            <w:pPr>
              <w:jc w:val="left"/>
            </w:pPr>
            <w:r>
              <w:rPr>
                <w:rFonts w:ascii="Calibri" w:hAnsi="Calibri"/>
                <w:color w:val="0A0A0A"/>
                <w:sz w:val="19"/>
              </w:rPr>
              <w:t>San Francisco, CA</w:t>
            </w:r>
          </w:p>
        </w:tc>
      </w:tr>
      <w:tr>
        <w:tc>
          <w:tcPr>
            <w:tcW w:type="dxa" w:w="2592"/>
            <w:shd w:val="clear" w:color="auto" w:fill="F0F4F0"/>
            <w:vAlign w:val="center"/>
          </w:tcPr>
          <w:p>
            <w:pPr>
              <w:jc w:val="left"/>
            </w:pPr>
            <w:r>
              <w:rPr>
                <w:rFonts w:ascii="Calibri" w:hAnsi="Calibri"/>
                <w:color w:val="0A0A0A"/>
                <w:sz w:val="19"/>
              </w:rPr>
              <w:t>The pitch</w:t>
            </w:r>
          </w:p>
        </w:tc>
        <w:tc>
          <w:tcPr>
            <w:tcW w:type="dxa" w:w="8496"/>
            <w:shd w:val="clear" w:color="auto" w:fill="F0F4F0"/>
            <w:vAlign w:val="center"/>
          </w:tcPr>
          <w:p>
            <w:pPr>
              <w:jc w:val="left"/>
            </w:pPr>
            <w:r>
              <w:rPr>
                <w:rFonts w:ascii="Calibri" w:hAnsi="Calibri"/>
                <w:color w:val="0A0A0A"/>
                <w:sz w:val="19"/>
              </w:rPr>
              <w:t>You solve distribution. We solve generation. Together you close the loop.</w:t>
            </w:r>
          </w:p>
        </w:tc>
      </w:tr>
    </w:tbl>
    <w:p/>
    <w:p>
      <w:pPr>
        <w:spacing w:before="160" w:after="40"/>
      </w:pPr>
      <w:r>
        <w:rPr>
          <w:rFonts w:ascii="Calibri" w:hAnsi="Calibri"/>
          <w:b/>
          <w:color w:val="1A4A7A"/>
          <w:sz w:val="22"/>
        </w:rPr>
        <w:t>2. Anduril Industries  ·  PRIORITY #2</w:t>
      </w:r>
    </w:p>
    <w:p>
      <w:pPr>
        <w:spacing w:after="120"/>
      </w:pPr>
      <w:r>
        <w:rPr>
          <w:rFonts w:ascii="Calibri" w:hAnsi="Calibri"/>
          <w:color w:val="0A0A0A"/>
          <w:sz w:val="21"/>
        </w:rPr>
        <w:t>Anduril is the leading 'new prime' defense tech company, building autonomous drones, counter-drone systems, border surveillance, missile defense, and the Lattice command-and-control platform. Their strategy is to own the operating system of the modern battlefield while manufacturing the systems connected to it. All of Anduril's edge systems — drones, sensors, directed energy weapons — are power-hungry. Persistent power at the tactical edge is their customers' ceiling.</w:t>
      </w:r>
    </w:p>
    <w:tbl>
      <w:tblPr>
        <w:tblStyle w:val="TableGrid"/>
        <w:tblW w:type="auto" w:w="0"/>
        <w:jc w:val="center"/>
        <w:tblLook w:firstColumn="1" w:firstRow="1" w:lastColumn="0" w:lastRow="0" w:noHBand="0" w:noVBand="1" w:val="04A0"/>
      </w:tblPr>
      <w:tblGrid>
        <w:gridCol w:w="4536"/>
        <w:gridCol w:w="4536"/>
      </w:tblGrid>
      <w:tr>
        <w:tc>
          <w:tcPr>
            <w:tcW w:type="dxa" w:w="2592"/>
            <w:shd w:val="clear" w:color="auto" w:fill="1A2E1A"/>
            <w:vAlign w:val="center"/>
          </w:tcPr>
          <w:p>
            <w:pPr>
              <w:jc w:val="left"/>
            </w:pPr>
            <w:r>
              <w:rPr>
                <w:rFonts w:ascii="Calibri" w:hAnsi="Calibri"/>
                <w:b/>
                <w:color w:val="FFFFFF"/>
                <w:sz w:val="18"/>
              </w:rPr>
              <w:t>DETAIL</w:t>
            </w:r>
          </w:p>
        </w:tc>
        <w:tc>
          <w:tcPr>
            <w:tcW w:type="dxa" w:w="8496"/>
            <w:shd w:val="clear" w:color="auto" w:fill="1A2E1A"/>
            <w:vAlign w:val="center"/>
          </w:tcPr>
          <w:p>
            <w:pPr>
              <w:jc w:val="left"/>
            </w:pPr>
            <w:r>
              <w:rPr>
                <w:rFonts w:ascii="Calibri" w:hAnsi="Calibri"/>
                <w:b/>
                <w:color w:val="FFFFFF"/>
                <w:sz w:val="18"/>
              </w:rPr>
              <w:t>INFORMATION</w:t>
            </w:r>
          </w:p>
        </w:tc>
      </w:tr>
      <w:tr>
        <w:tc>
          <w:tcPr>
            <w:tcW w:type="dxa" w:w="2592"/>
            <w:vAlign w:val="center"/>
          </w:tcPr>
          <w:p>
            <w:pPr>
              <w:jc w:val="left"/>
            </w:pPr>
            <w:r>
              <w:rPr>
                <w:rFonts w:ascii="Calibri" w:hAnsi="Calibri"/>
                <w:color w:val="0A0A0A"/>
                <w:sz w:val="19"/>
              </w:rPr>
              <w:t>Valuation</w:t>
            </w:r>
          </w:p>
        </w:tc>
        <w:tc>
          <w:tcPr>
            <w:tcW w:type="dxa" w:w="8496"/>
            <w:vAlign w:val="center"/>
          </w:tcPr>
          <w:p>
            <w:pPr>
              <w:jc w:val="left"/>
            </w:pPr>
            <w:r>
              <w:rPr>
                <w:rFonts w:ascii="Calibri" w:hAnsi="Calibri"/>
                <w:color w:val="0A0A0A"/>
                <w:sz w:val="19"/>
              </w:rPr>
              <w:t>$20B+ (2024 funding round)</w:t>
            </w:r>
          </w:p>
        </w:tc>
      </w:tr>
      <w:tr>
        <w:tc>
          <w:tcPr>
            <w:tcW w:type="dxa" w:w="2592"/>
            <w:shd w:val="clear" w:color="auto" w:fill="F0F4F0"/>
            <w:vAlign w:val="center"/>
          </w:tcPr>
          <w:p>
            <w:pPr>
              <w:jc w:val="left"/>
            </w:pPr>
            <w:r>
              <w:rPr>
                <w:rFonts w:ascii="Calibri" w:hAnsi="Calibri"/>
                <w:color w:val="0A0A0A"/>
                <w:sz w:val="19"/>
              </w:rPr>
              <w:t>Key products</w:t>
            </w:r>
          </w:p>
        </w:tc>
        <w:tc>
          <w:tcPr>
            <w:tcW w:type="dxa" w:w="8496"/>
            <w:shd w:val="clear" w:color="auto" w:fill="F0F4F0"/>
            <w:vAlign w:val="center"/>
          </w:tcPr>
          <w:p>
            <w:pPr>
              <w:jc w:val="left"/>
            </w:pPr>
            <w:r>
              <w:rPr>
                <w:rFonts w:ascii="Calibri" w:hAnsi="Calibri"/>
                <w:color w:val="0A0A0A"/>
                <w:sz w:val="19"/>
              </w:rPr>
              <w:t>Lattice OS, Roadrunner autonomous drone, Fury autonomous fighter, Ghost-X counter-drone</w:t>
            </w:r>
          </w:p>
        </w:tc>
      </w:tr>
      <w:tr>
        <w:tc>
          <w:tcPr>
            <w:tcW w:type="dxa" w:w="2592"/>
            <w:vAlign w:val="center"/>
          </w:tcPr>
          <w:p>
            <w:pPr>
              <w:jc w:val="left"/>
            </w:pPr>
            <w:r>
              <w:rPr>
                <w:rFonts w:ascii="Calibri" w:hAnsi="Calibri"/>
                <w:color w:val="0A0A0A"/>
                <w:sz w:val="19"/>
              </w:rPr>
              <w:t>Manufacturing</w:t>
            </w:r>
          </w:p>
        </w:tc>
        <w:tc>
          <w:tcPr>
            <w:tcW w:type="dxa" w:w="8496"/>
            <w:vAlign w:val="center"/>
          </w:tcPr>
          <w:p>
            <w:pPr>
              <w:jc w:val="left"/>
            </w:pPr>
            <w:r>
              <w:rPr>
                <w:rFonts w:ascii="Calibri" w:hAnsi="Calibri"/>
                <w:color w:val="0A0A0A"/>
                <w:sz w:val="19"/>
              </w:rPr>
              <w:t>Arsenal-1 — 5M sq ft autonomous weapons factory near Columbus, OH (in development)</w:t>
            </w:r>
          </w:p>
        </w:tc>
      </w:tr>
      <w:tr>
        <w:tc>
          <w:tcPr>
            <w:tcW w:type="dxa" w:w="2592"/>
            <w:shd w:val="clear" w:color="auto" w:fill="F0F4F0"/>
            <w:vAlign w:val="center"/>
          </w:tcPr>
          <w:p>
            <w:pPr>
              <w:jc w:val="left"/>
            </w:pPr>
            <w:r>
              <w:rPr>
                <w:rFonts w:ascii="Calibri" w:hAnsi="Calibri"/>
                <w:color w:val="0A0A0A"/>
                <w:sz w:val="19"/>
              </w:rPr>
              <w:t>DoD contracts</w:t>
            </w:r>
          </w:p>
        </w:tc>
        <w:tc>
          <w:tcPr>
            <w:tcW w:type="dxa" w:w="8496"/>
            <w:shd w:val="clear" w:color="auto" w:fill="F0F4F0"/>
            <w:vAlign w:val="center"/>
          </w:tcPr>
          <w:p>
            <w:pPr>
              <w:jc w:val="left"/>
            </w:pPr>
            <w:r>
              <w:rPr>
                <w:rFonts w:ascii="Calibri" w:hAnsi="Calibri"/>
                <w:color w:val="0A0A0A"/>
                <w:sz w:val="19"/>
              </w:rPr>
              <w:t>Multiple; one of the fastest-growing DoD contractors by contract value</w:t>
            </w:r>
          </w:p>
        </w:tc>
      </w:tr>
      <w:tr>
        <w:tc>
          <w:tcPr>
            <w:tcW w:type="dxa" w:w="2592"/>
            <w:vAlign w:val="center"/>
          </w:tcPr>
          <w:p>
            <w:pPr>
              <w:jc w:val="left"/>
            </w:pPr>
            <w:r>
              <w:rPr>
                <w:rFonts w:ascii="Calibri" w:hAnsi="Calibri"/>
                <w:color w:val="0A0A0A"/>
                <w:sz w:val="19"/>
              </w:rPr>
              <w:t>The pitch</w:t>
            </w:r>
          </w:p>
        </w:tc>
        <w:tc>
          <w:tcPr>
            <w:tcW w:type="dxa" w:w="8496"/>
            <w:vAlign w:val="center"/>
          </w:tcPr>
          <w:p>
            <w:pPr>
              <w:jc w:val="left"/>
            </w:pPr>
            <w:r>
              <w:rPr>
                <w:rFonts w:ascii="Calibri" w:hAnsi="Calibri"/>
                <w:color w:val="0A0A0A"/>
                <w:sz w:val="19"/>
              </w:rPr>
              <w:t>Your Lattice platform needs persistent power at the edge. We deliver it from the line above.</w:t>
            </w:r>
          </w:p>
        </w:tc>
      </w:tr>
    </w:tbl>
    <w:p/>
    <w:p>
      <w:pPr>
        <w:spacing w:before="160" w:after="40"/>
      </w:pPr>
      <w:r>
        <w:rPr>
          <w:rFonts w:ascii="Calibri" w:hAnsi="Calibri"/>
          <w:b/>
          <w:color w:val="1A4A7A"/>
          <w:sz w:val="22"/>
        </w:rPr>
        <w:t>3. Shield AI  ·  PRIORITY #3</w:t>
      </w:r>
    </w:p>
    <w:p>
      <w:pPr>
        <w:spacing w:after="120"/>
      </w:pPr>
      <w:r>
        <w:rPr>
          <w:rFonts w:ascii="Calibri" w:hAnsi="Calibri"/>
          <w:color w:val="0A0A0A"/>
          <w:sz w:val="21"/>
        </w:rPr>
        <w:t>Shield AI builds Hivemind — autonomy software that allows aircraft and drones to operate without GPS or communications links (critical for contested electromagnetic environments). Their V-BAT drone platform and Hivemind stack are deployed operationally. Shield AI President Brandon Tseng has noted that ~99% of autonomous military systems cannot function in GPS/comms-jammed environments. Their drones need persistent power to maintain station.</w:t>
      </w:r>
    </w:p>
    <w:tbl>
      <w:tblPr>
        <w:tblStyle w:val="TableGrid"/>
        <w:tblW w:type="auto" w:w="0"/>
        <w:jc w:val="center"/>
        <w:tblLook w:firstColumn="1" w:firstRow="1" w:lastColumn="0" w:lastRow="0" w:noHBand="0" w:noVBand="1" w:val="04A0"/>
      </w:tblPr>
      <w:tblGrid>
        <w:gridCol w:w="4536"/>
        <w:gridCol w:w="4536"/>
      </w:tblGrid>
      <w:tr>
        <w:tc>
          <w:tcPr>
            <w:tcW w:type="dxa" w:w="2592"/>
            <w:shd w:val="clear" w:color="auto" w:fill="1A2E1A"/>
            <w:vAlign w:val="center"/>
          </w:tcPr>
          <w:p>
            <w:pPr>
              <w:jc w:val="left"/>
            </w:pPr>
            <w:r>
              <w:rPr>
                <w:rFonts w:ascii="Calibri" w:hAnsi="Calibri"/>
                <w:b/>
                <w:color w:val="FFFFFF"/>
                <w:sz w:val="18"/>
              </w:rPr>
              <w:t>DETAIL</w:t>
            </w:r>
          </w:p>
        </w:tc>
        <w:tc>
          <w:tcPr>
            <w:tcW w:type="dxa" w:w="8496"/>
            <w:shd w:val="clear" w:color="auto" w:fill="1A2E1A"/>
            <w:vAlign w:val="center"/>
          </w:tcPr>
          <w:p>
            <w:pPr>
              <w:jc w:val="left"/>
            </w:pPr>
            <w:r>
              <w:rPr>
                <w:rFonts w:ascii="Calibri" w:hAnsi="Calibri"/>
                <w:b/>
                <w:color w:val="FFFFFF"/>
                <w:sz w:val="18"/>
              </w:rPr>
              <w:t>INFORMATION</w:t>
            </w:r>
          </w:p>
        </w:tc>
      </w:tr>
      <w:tr>
        <w:tc>
          <w:tcPr>
            <w:tcW w:type="dxa" w:w="2592"/>
            <w:vAlign w:val="center"/>
          </w:tcPr>
          <w:p>
            <w:pPr>
              <w:jc w:val="left"/>
            </w:pPr>
            <w:r>
              <w:rPr>
                <w:rFonts w:ascii="Calibri" w:hAnsi="Calibri"/>
                <w:color w:val="0A0A0A"/>
                <w:sz w:val="19"/>
              </w:rPr>
              <w:t>Status</w:t>
            </w:r>
          </w:p>
        </w:tc>
        <w:tc>
          <w:tcPr>
            <w:tcW w:type="dxa" w:w="8496"/>
            <w:vAlign w:val="center"/>
          </w:tcPr>
          <w:p>
            <w:pPr>
              <w:jc w:val="left"/>
            </w:pPr>
            <w:r>
              <w:rPr>
                <w:rFonts w:ascii="Calibri" w:hAnsi="Calibri"/>
                <w:color w:val="0A0A0A"/>
                <w:sz w:val="19"/>
              </w:rPr>
              <w:t>Pre-IPO (2026 IPO expected)</w:t>
            </w:r>
          </w:p>
        </w:tc>
      </w:tr>
      <w:tr>
        <w:tc>
          <w:tcPr>
            <w:tcW w:type="dxa" w:w="2592"/>
            <w:shd w:val="clear" w:color="auto" w:fill="F0F4F0"/>
            <w:vAlign w:val="center"/>
          </w:tcPr>
          <w:p>
            <w:pPr>
              <w:jc w:val="left"/>
            </w:pPr>
            <w:r>
              <w:rPr>
                <w:rFonts w:ascii="Calibri" w:hAnsi="Calibri"/>
                <w:color w:val="0A0A0A"/>
                <w:sz w:val="19"/>
              </w:rPr>
              <w:t>Key products</w:t>
            </w:r>
          </w:p>
        </w:tc>
        <w:tc>
          <w:tcPr>
            <w:tcW w:type="dxa" w:w="8496"/>
            <w:shd w:val="clear" w:color="auto" w:fill="F0F4F0"/>
            <w:vAlign w:val="center"/>
          </w:tcPr>
          <w:p>
            <w:pPr>
              <w:jc w:val="left"/>
            </w:pPr>
            <w:r>
              <w:rPr>
                <w:rFonts w:ascii="Calibri" w:hAnsi="Calibri"/>
                <w:color w:val="0A0A0A"/>
                <w:sz w:val="19"/>
              </w:rPr>
              <w:t>Hivemind autonomy software, V-BAT drone, Nova autonomous fighter</w:t>
            </w:r>
          </w:p>
        </w:tc>
      </w:tr>
      <w:tr>
        <w:tc>
          <w:tcPr>
            <w:tcW w:type="dxa" w:w="2592"/>
            <w:vAlign w:val="center"/>
          </w:tcPr>
          <w:p>
            <w:pPr>
              <w:jc w:val="left"/>
            </w:pPr>
            <w:r>
              <w:rPr>
                <w:rFonts w:ascii="Calibri" w:hAnsi="Calibri"/>
                <w:color w:val="0A0A0A"/>
                <w:sz w:val="19"/>
              </w:rPr>
              <w:t>Key claim</w:t>
            </w:r>
          </w:p>
        </w:tc>
        <w:tc>
          <w:tcPr>
            <w:tcW w:type="dxa" w:w="8496"/>
            <w:vAlign w:val="center"/>
          </w:tcPr>
          <w:p>
            <w:pPr>
              <w:jc w:val="left"/>
            </w:pPr>
            <w:r>
              <w:rPr>
                <w:rFonts w:ascii="Calibri" w:hAnsi="Calibri"/>
                <w:color w:val="0A0A0A"/>
                <w:sz w:val="19"/>
              </w:rPr>
              <w:t>99% of autonomous military systems fail in comms-jammed environments — Hivemind doesn't</w:t>
            </w:r>
          </w:p>
        </w:tc>
      </w:tr>
      <w:tr>
        <w:tc>
          <w:tcPr>
            <w:tcW w:type="dxa" w:w="2592"/>
            <w:shd w:val="clear" w:color="auto" w:fill="F0F4F0"/>
            <w:vAlign w:val="center"/>
          </w:tcPr>
          <w:p>
            <w:pPr>
              <w:jc w:val="left"/>
            </w:pPr>
            <w:r>
              <w:rPr>
                <w:rFonts w:ascii="Calibri" w:hAnsi="Calibri"/>
                <w:color w:val="0A0A0A"/>
                <w:sz w:val="19"/>
              </w:rPr>
              <w:t>DoD contracts</w:t>
            </w:r>
          </w:p>
        </w:tc>
        <w:tc>
          <w:tcPr>
            <w:tcW w:type="dxa" w:w="8496"/>
            <w:shd w:val="clear" w:color="auto" w:fill="F0F4F0"/>
            <w:vAlign w:val="center"/>
          </w:tcPr>
          <w:p>
            <w:pPr>
              <w:jc w:val="left"/>
            </w:pPr>
            <w:r>
              <w:rPr>
                <w:rFonts w:ascii="Calibri" w:hAnsi="Calibri"/>
                <w:color w:val="0A0A0A"/>
                <w:sz w:val="19"/>
              </w:rPr>
              <w:t>Operational deployments; selected for programs involving Anduril-built aircraft</w:t>
            </w:r>
          </w:p>
        </w:tc>
      </w:tr>
      <w:tr>
        <w:tc>
          <w:tcPr>
            <w:tcW w:type="dxa" w:w="2592"/>
            <w:vAlign w:val="center"/>
          </w:tcPr>
          <w:p>
            <w:pPr>
              <w:jc w:val="left"/>
            </w:pPr>
            <w:r>
              <w:rPr>
                <w:rFonts w:ascii="Calibri" w:hAnsi="Calibri"/>
                <w:color w:val="0A0A0A"/>
                <w:sz w:val="19"/>
              </w:rPr>
              <w:t>The pitch</w:t>
            </w:r>
          </w:p>
        </w:tc>
        <w:tc>
          <w:tcPr>
            <w:tcW w:type="dxa" w:w="8496"/>
            <w:vAlign w:val="center"/>
          </w:tcPr>
          <w:p>
            <w:pPr>
              <w:jc w:val="left"/>
            </w:pPr>
            <w:r>
              <w:rPr>
                <w:rFonts w:ascii="Calibri" w:hAnsi="Calibri"/>
                <w:color w:val="0A0A0A"/>
                <w:sz w:val="19"/>
              </w:rPr>
              <w:t>Your drones run out of power. Ours harvests it from the line above them.</w:t>
            </w:r>
          </w:p>
        </w:tc>
      </w:tr>
    </w:tbl>
    <w:p/>
    <w:p>
      <w:pPr>
        <w:spacing w:before="160" w:after="40"/>
      </w:pPr>
      <w:r>
        <w:rPr>
          <w:rFonts w:ascii="Calibri" w:hAnsi="Calibri"/>
          <w:b/>
          <w:color w:val="1A4A7A"/>
          <w:sz w:val="22"/>
        </w:rPr>
        <w:t>4. Mach Industries  ·  PRIORITY #4</w:t>
      </w:r>
    </w:p>
    <w:p>
      <w:pPr>
        <w:spacing w:after="120"/>
      </w:pPr>
      <w:r>
        <w:rPr>
          <w:rFonts w:ascii="Calibri" w:hAnsi="Calibri"/>
          <w:color w:val="0A0A0A"/>
          <w:sz w:val="21"/>
        </w:rPr>
        <w:t>Mach Industries manufactures UAVs and loitering munitions at scale for the DoD, using decentralized manufacturing facilities. Power logistics is their customers' top operational pain. Chargebotic as a supply chain add-on enables Mach's customers to sustain operations without fuel convoys.</w:t>
      </w:r>
    </w:p>
    <w:tbl>
      <w:tblPr>
        <w:tblStyle w:val="TableGrid"/>
        <w:tblW w:type="auto" w:w="0"/>
        <w:jc w:val="center"/>
        <w:tblLook w:firstColumn="1" w:firstRow="1" w:lastColumn="0" w:lastRow="0" w:noHBand="0" w:noVBand="1" w:val="04A0"/>
      </w:tblPr>
      <w:tblGrid>
        <w:gridCol w:w="4536"/>
        <w:gridCol w:w="4536"/>
      </w:tblGrid>
      <w:tr>
        <w:tc>
          <w:tcPr>
            <w:tcW w:type="dxa" w:w="2592"/>
            <w:shd w:val="clear" w:color="auto" w:fill="1A2E1A"/>
            <w:vAlign w:val="center"/>
          </w:tcPr>
          <w:p>
            <w:pPr>
              <w:jc w:val="left"/>
            </w:pPr>
            <w:r>
              <w:rPr>
                <w:rFonts w:ascii="Calibri" w:hAnsi="Calibri"/>
                <w:b/>
                <w:color w:val="FFFFFF"/>
                <w:sz w:val="18"/>
              </w:rPr>
              <w:t>DETAIL</w:t>
            </w:r>
          </w:p>
        </w:tc>
        <w:tc>
          <w:tcPr>
            <w:tcW w:type="dxa" w:w="8496"/>
            <w:shd w:val="clear" w:color="auto" w:fill="1A2E1A"/>
            <w:vAlign w:val="center"/>
          </w:tcPr>
          <w:p>
            <w:pPr>
              <w:jc w:val="left"/>
            </w:pPr>
            <w:r>
              <w:rPr>
                <w:rFonts w:ascii="Calibri" w:hAnsi="Calibri"/>
                <w:b/>
                <w:color w:val="FFFFFF"/>
                <w:sz w:val="18"/>
              </w:rPr>
              <w:t>INFORMATION</w:t>
            </w:r>
          </w:p>
        </w:tc>
      </w:tr>
      <w:tr>
        <w:tc>
          <w:tcPr>
            <w:tcW w:type="dxa" w:w="2592"/>
            <w:vAlign w:val="center"/>
          </w:tcPr>
          <w:p>
            <w:pPr>
              <w:jc w:val="left"/>
            </w:pPr>
            <w:r>
              <w:rPr>
                <w:rFonts w:ascii="Calibri" w:hAnsi="Calibri"/>
                <w:color w:val="0A0A0A"/>
                <w:sz w:val="19"/>
              </w:rPr>
              <w:t>Valuation</w:t>
            </w:r>
          </w:p>
        </w:tc>
        <w:tc>
          <w:tcPr>
            <w:tcW w:type="dxa" w:w="8496"/>
            <w:vAlign w:val="center"/>
          </w:tcPr>
          <w:p>
            <w:pPr>
              <w:jc w:val="left"/>
            </w:pPr>
            <w:r>
              <w:rPr>
                <w:rFonts w:ascii="Calibri" w:hAnsi="Calibri"/>
                <w:color w:val="0A0A0A"/>
                <w:sz w:val="19"/>
              </w:rPr>
              <w:t>$1.8B (June 2026) — 4× increase in one year</w:t>
            </w:r>
          </w:p>
        </w:tc>
      </w:tr>
      <w:tr>
        <w:tc>
          <w:tcPr>
            <w:tcW w:type="dxa" w:w="2592"/>
            <w:shd w:val="clear" w:color="auto" w:fill="F0F4F0"/>
            <w:vAlign w:val="center"/>
          </w:tcPr>
          <w:p>
            <w:pPr>
              <w:jc w:val="left"/>
            </w:pPr>
            <w:r>
              <w:rPr>
                <w:rFonts w:ascii="Calibri" w:hAnsi="Calibri"/>
                <w:color w:val="0A0A0A"/>
                <w:sz w:val="19"/>
              </w:rPr>
              <w:t>Series B</w:t>
            </w:r>
          </w:p>
        </w:tc>
        <w:tc>
          <w:tcPr>
            <w:tcW w:type="dxa" w:w="8496"/>
            <w:shd w:val="clear" w:color="auto" w:fill="F0F4F0"/>
            <w:vAlign w:val="center"/>
          </w:tcPr>
          <w:p>
            <w:pPr>
              <w:jc w:val="left"/>
            </w:pPr>
            <w:r>
              <w:rPr>
                <w:rFonts w:ascii="Calibri" w:hAnsi="Calibri"/>
                <w:color w:val="0A0A0A"/>
                <w:sz w:val="19"/>
              </w:rPr>
              <w:t>$100M led by Khosla Ventures and Bedrock, with Sequoia</w:t>
            </w:r>
          </w:p>
        </w:tc>
      </w:tr>
      <w:tr>
        <w:tc>
          <w:tcPr>
            <w:tcW w:type="dxa" w:w="2592"/>
            <w:vAlign w:val="center"/>
          </w:tcPr>
          <w:p>
            <w:pPr>
              <w:jc w:val="left"/>
            </w:pPr>
            <w:r>
              <w:rPr>
                <w:rFonts w:ascii="Calibri" w:hAnsi="Calibri"/>
                <w:color w:val="0A0A0A"/>
                <w:sz w:val="19"/>
              </w:rPr>
              <w:t>Key products</w:t>
            </w:r>
          </w:p>
        </w:tc>
        <w:tc>
          <w:tcPr>
            <w:tcW w:type="dxa" w:w="8496"/>
            <w:vAlign w:val="center"/>
          </w:tcPr>
          <w:p>
            <w:pPr>
              <w:jc w:val="left"/>
            </w:pPr>
            <w:r>
              <w:rPr>
                <w:rFonts w:ascii="Calibri" w:hAnsi="Calibri"/>
                <w:color w:val="0A0A0A"/>
                <w:sz w:val="19"/>
              </w:rPr>
              <w:t>UAVs, loitering munitions, decentralized manufacturing</w:t>
            </w:r>
          </w:p>
        </w:tc>
      </w:tr>
      <w:tr>
        <w:tc>
          <w:tcPr>
            <w:tcW w:type="dxa" w:w="2592"/>
            <w:shd w:val="clear" w:color="auto" w:fill="F0F4F0"/>
            <w:vAlign w:val="center"/>
          </w:tcPr>
          <w:p>
            <w:pPr>
              <w:jc w:val="left"/>
            </w:pPr>
            <w:r>
              <w:rPr>
                <w:rFonts w:ascii="Calibri" w:hAnsi="Calibri"/>
                <w:color w:val="0A0A0A"/>
                <w:sz w:val="19"/>
              </w:rPr>
              <w:t>Focus</w:t>
            </w:r>
          </w:p>
        </w:tc>
        <w:tc>
          <w:tcPr>
            <w:tcW w:type="dxa" w:w="8496"/>
            <w:shd w:val="clear" w:color="auto" w:fill="F0F4F0"/>
            <w:vAlign w:val="center"/>
          </w:tcPr>
          <w:p>
            <w:pPr>
              <w:jc w:val="left"/>
            </w:pPr>
            <w:r>
              <w:rPr>
                <w:rFonts w:ascii="Calibri" w:hAnsi="Calibri"/>
                <w:color w:val="0A0A0A"/>
                <w:sz w:val="19"/>
              </w:rPr>
              <w:t>Defense manufacturing velocity — making weapons at software speed</w:t>
            </w:r>
          </w:p>
        </w:tc>
      </w:tr>
      <w:tr>
        <w:tc>
          <w:tcPr>
            <w:tcW w:type="dxa" w:w="2592"/>
            <w:vAlign w:val="center"/>
          </w:tcPr>
          <w:p>
            <w:pPr>
              <w:jc w:val="left"/>
            </w:pPr>
            <w:r>
              <w:rPr>
                <w:rFonts w:ascii="Calibri" w:hAnsi="Calibri"/>
                <w:color w:val="0A0A0A"/>
                <w:sz w:val="19"/>
              </w:rPr>
              <w:t>The pitch</w:t>
            </w:r>
          </w:p>
        </w:tc>
        <w:tc>
          <w:tcPr>
            <w:tcW w:type="dxa" w:w="8496"/>
            <w:vAlign w:val="center"/>
          </w:tcPr>
          <w:p>
            <w:pPr>
              <w:jc w:val="left"/>
            </w:pPr>
            <w:r>
              <w:rPr>
                <w:rFonts w:ascii="Calibri" w:hAnsi="Calibri"/>
                <w:color w:val="0A0A0A"/>
                <w:sz w:val="19"/>
              </w:rPr>
              <w:t>Power logistics is your customers' #1 problem. Add Chargebotic to your supply chain.</w:t>
            </w:r>
          </w:p>
        </w:tc>
      </w:tr>
    </w:tbl>
    <w:p/>
    <w:p>
      <w:pPr>
        <w:spacing w:before="160" w:after="40"/>
      </w:pPr>
      <w:r>
        <w:rPr>
          <w:rFonts w:ascii="Calibri" w:hAnsi="Calibri"/>
          <w:b/>
          <w:color w:val="1A4A7A"/>
          <w:sz w:val="22"/>
        </w:rPr>
        <w:t>5. Windlift  ·  WATCH / PARTNER</w:t>
      </w:r>
    </w:p>
    <w:p>
      <w:pPr>
        <w:spacing w:after="120"/>
      </w:pPr>
      <w:r>
        <w:rPr>
          <w:rFonts w:ascii="Calibri" w:hAnsi="Calibri"/>
          <w:color w:val="0A0A0A"/>
          <w:sz w:val="21"/>
        </w:rPr>
        <w:t>Windlift is the most structurally similar company to Chargebotic — a tethered drone that generates power and delivers it via tether to a ground station. The key difference: Windlift harvests wind energy, not power line energy. This makes their system weather-dependent and unable to operate in low-wind environments. Windlift has significant DoD backing and has validated the core 'tethered drone as power delivery' concept. They are either a natural partner or an acqui-hire risk — monitor closely.</w:t>
      </w:r>
    </w:p>
    <w:tbl>
      <w:tblPr>
        <w:tblStyle w:val="TableGrid"/>
        <w:tblW w:type="auto" w:w="0"/>
        <w:jc w:val="center"/>
        <w:tblLook w:firstColumn="1" w:firstRow="1" w:lastColumn="0" w:lastRow="0" w:noHBand="0" w:noVBand="1" w:val="04A0"/>
      </w:tblPr>
      <w:tblGrid>
        <w:gridCol w:w="4536"/>
        <w:gridCol w:w="4536"/>
      </w:tblGrid>
      <w:tr>
        <w:tc>
          <w:tcPr>
            <w:tcW w:type="dxa" w:w="2592"/>
            <w:shd w:val="clear" w:color="auto" w:fill="1A2E1A"/>
            <w:vAlign w:val="center"/>
          </w:tcPr>
          <w:p>
            <w:pPr>
              <w:jc w:val="left"/>
            </w:pPr>
            <w:r>
              <w:rPr>
                <w:rFonts w:ascii="Calibri" w:hAnsi="Calibri"/>
                <w:b/>
                <w:color w:val="FFFFFF"/>
                <w:sz w:val="18"/>
              </w:rPr>
              <w:t>DETAIL</w:t>
            </w:r>
          </w:p>
        </w:tc>
        <w:tc>
          <w:tcPr>
            <w:tcW w:type="dxa" w:w="8496"/>
            <w:shd w:val="clear" w:color="auto" w:fill="1A2E1A"/>
            <w:vAlign w:val="center"/>
          </w:tcPr>
          <w:p>
            <w:pPr>
              <w:jc w:val="left"/>
            </w:pPr>
            <w:r>
              <w:rPr>
                <w:rFonts w:ascii="Calibri" w:hAnsi="Calibri"/>
                <w:b/>
                <w:color w:val="FFFFFF"/>
                <w:sz w:val="18"/>
              </w:rPr>
              <w:t>INFORMATION</w:t>
            </w:r>
          </w:p>
        </w:tc>
      </w:tr>
      <w:tr>
        <w:tc>
          <w:tcPr>
            <w:tcW w:type="dxa" w:w="2592"/>
            <w:vAlign w:val="center"/>
          </w:tcPr>
          <w:p>
            <w:pPr>
              <w:jc w:val="left"/>
            </w:pPr>
            <w:r>
              <w:rPr>
                <w:rFonts w:ascii="Calibri" w:hAnsi="Calibri"/>
                <w:color w:val="0A0A0A"/>
                <w:sz w:val="19"/>
              </w:rPr>
              <w:t>DoD Funding</w:t>
            </w:r>
          </w:p>
        </w:tc>
        <w:tc>
          <w:tcPr>
            <w:tcW w:type="dxa" w:w="8496"/>
            <w:vAlign w:val="center"/>
          </w:tcPr>
          <w:p>
            <w:pPr>
              <w:jc w:val="left"/>
            </w:pPr>
            <w:r>
              <w:rPr>
                <w:rFonts w:ascii="Calibri" w:hAnsi="Calibri"/>
                <w:color w:val="0A0A0A"/>
                <w:sz w:val="19"/>
              </w:rPr>
              <w:t>$24M+ total DoD support</w:t>
            </w:r>
          </w:p>
        </w:tc>
      </w:tr>
      <w:tr>
        <w:tc>
          <w:tcPr>
            <w:tcW w:type="dxa" w:w="2592"/>
            <w:shd w:val="clear" w:color="auto" w:fill="F0F4F0"/>
            <w:vAlign w:val="center"/>
          </w:tcPr>
          <w:p>
            <w:pPr>
              <w:jc w:val="left"/>
            </w:pPr>
            <w:r>
              <w:rPr>
                <w:rFonts w:ascii="Calibri" w:hAnsi="Calibri"/>
                <w:color w:val="0A0A0A"/>
                <w:sz w:val="19"/>
              </w:rPr>
              <w:t>Key contract</w:t>
            </w:r>
          </w:p>
        </w:tc>
        <w:tc>
          <w:tcPr>
            <w:tcW w:type="dxa" w:w="8496"/>
            <w:shd w:val="clear" w:color="auto" w:fill="F0F4F0"/>
            <w:vAlign w:val="center"/>
          </w:tcPr>
          <w:p>
            <w:pPr>
              <w:jc w:val="left"/>
            </w:pPr>
            <w:r>
              <w:rPr>
                <w:rFonts w:ascii="Calibri" w:hAnsi="Calibri"/>
                <w:color w:val="0A0A0A"/>
                <w:sz w:val="19"/>
              </w:rPr>
              <w:t>$30M DoD contract for testing and commercialization</w:t>
            </w:r>
          </w:p>
        </w:tc>
      </w:tr>
      <w:tr>
        <w:tc>
          <w:tcPr>
            <w:tcW w:type="dxa" w:w="2592"/>
            <w:vAlign w:val="center"/>
          </w:tcPr>
          <w:p>
            <w:pPr>
              <w:jc w:val="left"/>
            </w:pPr>
            <w:r>
              <w:rPr>
                <w:rFonts w:ascii="Calibri" w:hAnsi="Calibri"/>
                <w:color w:val="0A0A0A"/>
                <w:sz w:val="19"/>
              </w:rPr>
              <w:t>Product</w:t>
            </w:r>
          </w:p>
        </w:tc>
        <w:tc>
          <w:tcPr>
            <w:tcW w:type="dxa" w:w="8496"/>
            <w:vAlign w:val="center"/>
          </w:tcPr>
          <w:p>
            <w:pPr>
              <w:jc w:val="left"/>
            </w:pPr>
            <w:r>
              <w:rPr>
                <w:rFonts w:ascii="Calibri" w:hAnsi="Calibri"/>
                <w:color w:val="0A0A0A"/>
                <w:sz w:val="19"/>
              </w:rPr>
              <w:t>Autonomous Power Generator (APG) — tethered drone generating electricity from wind</w:t>
            </w:r>
          </w:p>
        </w:tc>
      </w:tr>
      <w:tr>
        <w:tc>
          <w:tcPr>
            <w:tcW w:type="dxa" w:w="2592"/>
            <w:shd w:val="clear" w:color="auto" w:fill="F0F4F0"/>
            <w:vAlign w:val="center"/>
          </w:tcPr>
          <w:p>
            <w:pPr>
              <w:jc w:val="left"/>
            </w:pPr>
            <w:r>
              <w:rPr>
                <w:rFonts w:ascii="Calibri" w:hAnsi="Calibri"/>
                <w:color w:val="0A0A0A"/>
                <w:sz w:val="19"/>
              </w:rPr>
              <w:t>System output</w:t>
            </w:r>
          </w:p>
        </w:tc>
        <w:tc>
          <w:tcPr>
            <w:tcW w:type="dxa" w:w="8496"/>
            <w:shd w:val="clear" w:color="auto" w:fill="F0F4F0"/>
            <w:vAlign w:val="center"/>
          </w:tcPr>
          <w:p>
            <w:pPr>
              <w:jc w:val="left"/>
            </w:pPr>
            <w:r>
              <w:rPr>
                <w:rFonts w:ascii="Calibri" w:hAnsi="Calibri"/>
                <w:color w:val="0A0A0A"/>
                <w:sz w:val="19"/>
              </w:rPr>
              <w:t>3 kW rated system per 12-foot-wingspan drone</w:t>
            </w:r>
          </w:p>
        </w:tc>
      </w:tr>
      <w:tr>
        <w:tc>
          <w:tcPr>
            <w:tcW w:type="dxa" w:w="2592"/>
            <w:vAlign w:val="center"/>
          </w:tcPr>
          <w:p>
            <w:pPr>
              <w:jc w:val="left"/>
            </w:pPr>
            <w:r>
              <w:rPr>
                <w:rFonts w:ascii="Calibri" w:hAnsi="Calibri"/>
                <w:color w:val="0A0A0A"/>
                <w:sz w:val="19"/>
              </w:rPr>
              <w:t>Added function</w:t>
            </w:r>
          </w:p>
        </w:tc>
        <w:tc>
          <w:tcPr>
            <w:tcW w:type="dxa" w:w="8496"/>
            <w:vAlign w:val="center"/>
          </w:tcPr>
          <w:p>
            <w:pPr>
              <w:jc w:val="left"/>
            </w:pPr>
            <w:r>
              <w:rPr>
                <w:rFonts w:ascii="Calibri" w:hAnsi="Calibri"/>
                <w:color w:val="0A0A0A"/>
                <w:sz w:val="19"/>
              </w:rPr>
              <w:t>Elevated platform for cameras, sensors, and comms while generating power</w:t>
            </w:r>
          </w:p>
        </w:tc>
      </w:tr>
      <w:tr>
        <w:tc>
          <w:tcPr>
            <w:tcW w:type="dxa" w:w="2592"/>
            <w:shd w:val="clear" w:color="auto" w:fill="F0F4F0"/>
            <w:vAlign w:val="center"/>
          </w:tcPr>
          <w:p>
            <w:pPr>
              <w:jc w:val="left"/>
            </w:pPr>
            <w:r>
              <w:rPr>
                <w:rFonts w:ascii="Calibri" w:hAnsi="Calibri"/>
                <w:color w:val="0A0A0A"/>
                <w:sz w:val="19"/>
              </w:rPr>
              <w:t>Risk to Chargebotic</w:t>
            </w:r>
          </w:p>
        </w:tc>
        <w:tc>
          <w:tcPr>
            <w:tcW w:type="dxa" w:w="8496"/>
            <w:shd w:val="clear" w:color="auto" w:fill="F0F4F0"/>
            <w:vAlign w:val="center"/>
          </w:tcPr>
          <w:p>
            <w:pPr>
              <w:jc w:val="left"/>
            </w:pPr>
            <w:r>
              <w:rPr>
                <w:rFonts w:ascii="Calibri" w:hAnsi="Calibri"/>
                <w:color w:val="0A0A0A"/>
                <w:sz w:val="19"/>
              </w:rPr>
              <w:t>Same delivery model; could pivot to power line harvesting if they see the market</w:t>
            </w:r>
          </w:p>
        </w:tc>
      </w:tr>
      <w:tr>
        <w:tc>
          <w:tcPr>
            <w:tcW w:type="dxa" w:w="2592"/>
            <w:vAlign w:val="center"/>
          </w:tcPr>
          <w:p>
            <w:pPr>
              <w:jc w:val="left"/>
            </w:pPr>
            <w:r>
              <w:rPr>
                <w:rFonts w:ascii="Calibri" w:hAnsi="Calibri"/>
                <w:color w:val="0A0A0A"/>
                <w:sz w:val="19"/>
              </w:rPr>
              <w:t>Opportunity</w:t>
            </w:r>
          </w:p>
        </w:tc>
        <w:tc>
          <w:tcPr>
            <w:tcW w:type="dxa" w:w="8496"/>
            <w:vAlign w:val="center"/>
          </w:tcPr>
          <w:p>
            <w:pPr>
              <w:jc w:val="left"/>
            </w:pPr>
            <w:r>
              <w:rPr>
                <w:rFonts w:ascii="Calibri" w:hAnsi="Calibri"/>
                <w:color w:val="0A0A0A"/>
                <w:sz w:val="19"/>
              </w:rPr>
              <w:t>License or co-sell agreement; their DoD relationships are valuable</w:t>
            </w:r>
          </w:p>
        </w:tc>
      </w:tr>
    </w:tbl>
    <w:p/>
    <w:p>
      <w:pPr>
        <w:spacing w:before="240" w:after="60"/>
      </w:pPr>
      <w:r>
        <w:rPr>
          <w:rFonts w:ascii="Calibri" w:hAnsi="Calibri"/>
          <w:b/>
          <w:color w:val="1A1A2E"/>
          <w:sz w:val="24"/>
        </w:rPr>
        <w:t>4.3 B2B2G Risks and Mitigation</w:t>
      </w:r>
    </w:p>
    <w:tbl>
      <w:tblPr>
        <w:tblStyle w:val="TableGrid"/>
        <w:tblW w:type="auto" w:w="0"/>
        <w:jc w:val="center"/>
        <w:tblLook w:firstColumn="1" w:firstRow="1" w:lastColumn="0" w:lastRow="0" w:noHBand="0" w:noVBand="1" w:val="04A0"/>
      </w:tblPr>
      <w:tblGrid>
        <w:gridCol w:w="3024"/>
        <w:gridCol w:w="3024"/>
        <w:gridCol w:w="3024"/>
      </w:tblGrid>
      <w:tr>
        <w:tc>
          <w:tcPr>
            <w:tcW w:type="dxa" w:w="3600"/>
            <w:shd w:val="clear" w:color="auto" w:fill="1A2E1A"/>
            <w:vAlign w:val="center"/>
          </w:tcPr>
          <w:p>
            <w:pPr>
              <w:jc w:val="left"/>
            </w:pPr>
            <w:r>
              <w:rPr>
                <w:rFonts w:ascii="Calibri" w:hAnsi="Calibri"/>
                <w:b/>
                <w:color w:val="FFFFFF"/>
                <w:sz w:val="18"/>
              </w:rPr>
              <w:t>RISK</w:t>
            </w:r>
          </w:p>
        </w:tc>
        <w:tc>
          <w:tcPr>
            <w:tcW w:type="dxa" w:w="1728"/>
            <w:shd w:val="clear" w:color="auto" w:fill="1A2E1A"/>
            <w:vAlign w:val="center"/>
          </w:tcPr>
          <w:p>
            <w:pPr>
              <w:jc w:val="left"/>
            </w:pPr>
            <w:r>
              <w:rPr>
                <w:rFonts w:ascii="Calibri" w:hAnsi="Calibri"/>
                <w:b/>
                <w:color w:val="FFFFFF"/>
                <w:sz w:val="18"/>
              </w:rPr>
              <w:t>LIKELIHOOD</w:t>
            </w:r>
          </w:p>
        </w:tc>
        <w:tc>
          <w:tcPr>
            <w:tcW w:type="dxa" w:w="5616"/>
            <w:shd w:val="clear" w:color="auto" w:fill="1A2E1A"/>
            <w:vAlign w:val="center"/>
          </w:tcPr>
          <w:p>
            <w:pPr>
              <w:jc w:val="left"/>
            </w:pPr>
            <w:r>
              <w:rPr>
                <w:rFonts w:ascii="Calibri" w:hAnsi="Calibri"/>
                <w:b/>
                <w:color w:val="FFFFFF"/>
                <w:sz w:val="18"/>
              </w:rPr>
              <w:t>MITIGATION</w:t>
            </w:r>
          </w:p>
        </w:tc>
      </w:tr>
      <w:tr>
        <w:tc>
          <w:tcPr>
            <w:tcW w:type="dxa" w:w="3600"/>
            <w:vAlign w:val="center"/>
          </w:tcPr>
          <w:p>
            <w:pPr>
              <w:jc w:val="left"/>
            </w:pPr>
            <w:r>
              <w:rPr>
                <w:rFonts w:ascii="Calibri" w:hAnsi="Calibri"/>
                <w:color w:val="0A0A0A"/>
                <w:sz w:val="19"/>
              </w:rPr>
              <w:t>Partner copies the technology</w:t>
            </w:r>
          </w:p>
        </w:tc>
        <w:tc>
          <w:tcPr>
            <w:tcW w:type="dxa" w:w="1728"/>
            <w:vAlign w:val="center"/>
          </w:tcPr>
          <w:p>
            <w:pPr>
              <w:jc w:val="left"/>
            </w:pPr>
            <w:r>
              <w:rPr>
                <w:rFonts w:ascii="Calibri" w:hAnsi="Calibri"/>
                <w:color w:val="0A0A0A"/>
                <w:sz w:val="19"/>
              </w:rPr>
              <w:t>Medium</w:t>
            </w:r>
          </w:p>
        </w:tc>
        <w:tc>
          <w:tcPr>
            <w:tcW w:type="dxa" w:w="5616"/>
            <w:vAlign w:val="center"/>
          </w:tcPr>
          <w:p>
            <w:pPr>
              <w:jc w:val="left"/>
            </w:pPr>
            <w:r>
              <w:rPr>
                <w:rFonts w:ascii="Calibri" w:hAnsi="Calibri"/>
                <w:color w:val="0A0A0A"/>
                <w:sz w:val="19"/>
              </w:rPr>
              <w:t>File patents BEFORE any demo. NDA + term sheet immediately.</w:t>
            </w:r>
          </w:p>
        </w:tc>
      </w:tr>
      <w:tr>
        <w:tc>
          <w:tcPr>
            <w:tcW w:type="dxa" w:w="3600"/>
            <w:shd w:val="clear" w:color="auto" w:fill="F0F4F0"/>
            <w:vAlign w:val="center"/>
          </w:tcPr>
          <w:p>
            <w:pPr>
              <w:jc w:val="left"/>
            </w:pPr>
            <w:r>
              <w:rPr>
                <w:rFonts w:ascii="Calibri" w:hAnsi="Calibri"/>
                <w:color w:val="0A0A0A"/>
                <w:sz w:val="19"/>
              </w:rPr>
              <w:t>Margin compression (20–40%)</w:t>
            </w:r>
          </w:p>
        </w:tc>
        <w:tc>
          <w:tcPr>
            <w:tcW w:type="dxa" w:w="1728"/>
            <w:shd w:val="clear" w:color="auto" w:fill="F0F4F0"/>
            <w:vAlign w:val="center"/>
          </w:tcPr>
          <w:p>
            <w:pPr>
              <w:jc w:val="left"/>
            </w:pPr>
            <w:r>
              <w:rPr>
                <w:rFonts w:ascii="Calibri" w:hAnsi="Calibri"/>
                <w:color w:val="0A0A0A"/>
                <w:sz w:val="19"/>
              </w:rPr>
              <w:t>High</w:t>
            </w:r>
          </w:p>
        </w:tc>
        <w:tc>
          <w:tcPr>
            <w:tcW w:type="dxa" w:w="5616"/>
            <w:shd w:val="clear" w:color="auto" w:fill="F0F4F0"/>
            <w:vAlign w:val="center"/>
          </w:tcPr>
          <w:p>
            <w:pPr>
              <w:jc w:val="left"/>
            </w:pPr>
            <w:r>
              <w:rPr>
                <w:rFonts w:ascii="Calibri" w:hAnsi="Calibri"/>
                <w:color w:val="0A0A0A"/>
                <w:sz w:val="19"/>
              </w:rPr>
              <w:t>Accept for speed; use direct SBIR path in parallel for margin.</w:t>
            </w:r>
          </w:p>
        </w:tc>
      </w:tr>
      <w:tr>
        <w:tc>
          <w:tcPr>
            <w:tcW w:type="dxa" w:w="3600"/>
            <w:vAlign w:val="center"/>
          </w:tcPr>
          <w:p>
            <w:pPr>
              <w:jc w:val="left"/>
            </w:pPr>
            <w:r>
              <w:rPr>
                <w:rFonts w:ascii="Calibri" w:hAnsi="Calibri"/>
                <w:color w:val="0A0A0A"/>
                <w:sz w:val="19"/>
              </w:rPr>
              <w:t>100% dependency on one integrator</w:t>
            </w:r>
          </w:p>
        </w:tc>
        <w:tc>
          <w:tcPr>
            <w:tcW w:type="dxa" w:w="1728"/>
            <w:vAlign w:val="center"/>
          </w:tcPr>
          <w:p>
            <w:pPr>
              <w:jc w:val="left"/>
            </w:pPr>
            <w:r>
              <w:rPr>
                <w:rFonts w:ascii="Calibri" w:hAnsi="Calibri"/>
                <w:color w:val="0A0A0A"/>
                <w:sz w:val="19"/>
              </w:rPr>
              <w:t>Medium</w:t>
            </w:r>
          </w:p>
        </w:tc>
        <w:tc>
          <w:tcPr>
            <w:tcW w:type="dxa" w:w="5616"/>
            <w:vAlign w:val="center"/>
          </w:tcPr>
          <w:p>
            <w:pPr>
              <w:jc w:val="left"/>
            </w:pPr>
            <w:r>
              <w:rPr>
                <w:rFonts w:ascii="Calibri" w:hAnsi="Calibri"/>
                <w:color w:val="0A0A0A"/>
                <w:sz w:val="19"/>
              </w:rPr>
              <w:t>Diversify across 2–3 partners minimum.</w:t>
            </w:r>
          </w:p>
        </w:tc>
      </w:tr>
      <w:tr>
        <w:tc>
          <w:tcPr>
            <w:tcW w:type="dxa" w:w="3600"/>
            <w:shd w:val="clear" w:color="auto" w:fill="F0F4F0"/>
            <w:vAlign w:val="center"/>
          </w:tcPr>
          <w:p>
            <w:pPr>
              <w:jc w:val="left"/>
            </w:pPr>
            <w:r>
              <w:rPr>
                <w:rFonts w:ascii="Calibri" w:hAnsi="Calibri"/>
                <w:color w:val="0A0A0A"/>
                <w:sz w:val="19"/>
              </w:rPr>
              <w:t>Partner gets acquired, contract ends</w:t>
            </w:r>
          </w:p>
        </w:tc>
        <w:tc>
          <w:tcPr>
            <w:tcW w:type="dxa" w:w="1728"/>
            <w:shd w:val="clear" w:color="auto" w:fill="F0F4F0"/>
            <w:vAlign w:val="center"/>
          </w:tcPr>
          <w:p>
            <w:pPr>
              <w:jc w:val="left"/>
            </w:pPr>
            <w:r>
              <w:rPr>
                <w:rFonts w:ascii="Calibri" w:hAnsi="Calibri"/>
                <w:color w:val="0A0A0A"/>
                <w:sz w:val="19"/>
              </w:rPr>
              <w:t>Low</w:t>
            </w:r>
          </w:p>
        </w:tc>
        <w:tc>
          <w:tcPr>
            <w:tcW w:type="dxa" w:w="5616"/>
            <w:shd w:val="clear" w:color="auto" w:fill="F0F4F0"/>
            <w:vAlign w:val="center"/>
          </w:tcPr>
          <w:p>
            <w:pPr>
              <w:jc w:val="left"/>
            </w:pPr>
            <w:r>
              <w:rPr>
                <w:rFonts w:ascii="Calibri" w:hAnsi="Calibri"/>
                <w:color w:val="0A0A0A"/>
                <w:sz w:val="19"/>
              </w:rPr>
              <w:t>Build direct DoD relationships through SBIR simultaneously.</w:t>
            </w:r>
          </w:p>
        </w:tc>
      </w:tr>
      <w:tr>
        <w:tc>
          <w:tcPr>
            <w:tcW w:type="dxa" w:w="3600"/>
            <w:vAlign w:val="center"/>
          </w:tcPr>
          <w:p>
            <w:pPr>
              <w:jc w:val="left"/>
            </w:pPr>
            <w:r>
              <w:rPr>
                <w:rFonts w:ascii="Calibri" w:hAnsi="Calibri"/>
                <w:color w:val="0A0A0A"/>
                <w:sz w:val="19"/>
              </w:rPr>
              <w:t>Partner deprioritizes Chargebotic</w:t>
            </w:r>
          </w:p>
        </w:tc>
        <w:tc>
          <w:tcPr>
            <w:tcW w:type="dxa" w:w="1728"/>
            <w:vAlign w:val="center"/>
          </w:tcPr>
          <w:p>
            <w:pPr>
              <w:jc w:val="left"/>
            </w:pPr>
            <w:r>
              <w:rPr>
                <w:rFonts w:ascii="Calibri" w:hAnsi="Calibri"/>
                <w:color w:val="0A0A0A"/>
                <w:sz w:val="19"/>
              </w:rPr>
              <w:t>Medium</w:t>
            </w:r>
          </w:p>
        </w:tc>
        <w:tc>
          <w:tcPr>
            <w:tcW w:type="dxa" w:w="5616"/>
            <w:vAlign w:val="center"/>
          </w:tcPr>
          <w:p>
            <w:pPr>
              <w:jc w:val="left"/>
            </w:pPr>
            <w:r>
              <w:rPr>
                <w:rFonts w:ascii="Calibri" w:hAnsi="Calibri"/>
                <w:color w:val="0A0A0A"/>
                <w:sz w:val="19"/>
              </w:rPr>
              <w:t>Maintain competitive alternatives; never be sole-sourced to one partner.</w:t>
            </w:r>
          </w:p>
        </w:tc>
      </w:tr>
    </w:tbl>
    <w:p/>
    <w:p>
      <w:pPr>
        <w:spacing w:before="120" w:after="120"/>
        <w:ind w:left="432" w:right="432"/>
        <w:pBdr>
          <w:top w:val="single" w:sz="12" w:space="4" w:color="D4810F"/>
          <w:bottom w:val="single" w:sz="12" w:space="4" w:color="D4810F"/>
          <w:left w:val="single" w:sz="12" w:space="4" w:color="D4810F"/>
          <w:right w:val="single" w:sz="12" w:space="4" w:color="D4810F"/>
        </w:pBdr>
      </w:pPr>
      <w:r>
        <w:rPr>
          <w:rFonts w:ascii="Calibri" w:hAnsi="Calibri"/>
          <w:i/>
          <w:color w:val="0A0A0A"/>
          <w:sz w:val="21"/>
        </w:rPr>
        <w:t>CRITICAL:  File all relevant IP before making contact with any of these companies. This includes patents on the autonomous perching mechanism, the power harvesting method, the tether power delivery system, and the ground station interface. Only then initiate outreach — starting with Chariot Defense.</w:t>
      </w:r>
    </w:p>
    <w:p>
      <w:r>
        <w:br w:type="page"/>
      </w:r>
    </w:p>
    <w:p>
      <w:pPr>
        <w:spacing w:before="360" w:after="80"/>
        <w:pBdr>
          <w:bottom w:val="single" w:sz="8" w:space="1" w:color="D4810F"/>
        </w:pBdr>
      </w:pPr>
      <w:r>
        <w:rPr>
          <w:rFonts w:ascii="Calibri" w:hAnsi="Calibri"/>
          <w:b/>
          <w:color w:val="D47E0F"/>
          <w:sz w:val="30"/>
        </w:rPr>
        <w:t>5. COMPETITIVE LANDSCAPE</w:t>
      </w:r>
    </w:p>
    <w:p>
      <w:pPr>
        <w:spacing w:after="120"/>
      </w:pPr>
      <w:r>
        <w:rPr>
          <w:rFonts w:ascii="Calibri" w:hAnsi="Calibri"/>
          <w:color w:val="0A0A0A"/>
          <w:sz w:val="21"/>
        </w:rPr>
        <w:t>No direct competitor exists. No commercial or defense product today offers an autonomous drone that taps overhead power lines and delivers that energy via tether to a ground station. The competitive landscape consists of academic research, adjacent energy technologies, and incumbent diesel systems.</w:t>
      </w:r>
    </w:p>
    <w:p>
      <w:pPr>
        <w:spacing w:before="240" w:after="60"/>
      </w:pPr>
      <w:r>
        <w:rPr>
          <w:rFonts w:ascii="Calibri" w:hAnsi="Calibri"/>
          <w:b/>
          <w:color w:val="1A1A2E"/>
          <w:sz w:val="24"/>
        </w:rPr>
        <w:t>5.1 Direct Competitors — Power Line Energy Harvesting Drone</w:t>
      </w:r>
    </w:p>
    <w:p>
      <w:pPr>
        <w:spacing w:after="120"/>
      </w:pPr>
      <w:r>
        <w:rPr>
          <w:rFonts w:ascii="Calibri" w:hAnsi="Calibri"/>
          <w:color w:val="0A0A0A"/>
          <w:sz w:val="21"/>
        </w:rPr>
        <w:t>None identified. Academic research exists (University of Southern Denmark, 2024: demonstrated autonomous drone charging from power lines) but this targets drone self-charging, not ground station delivery. US Patent 7,563,124 covers low-voltage power line harvesting conceptually but has no commercial product. Chargebotic operates in genuine white space.</w:t>
      </w:r>
    </w:p>
    <w:p>
      <w:pPr>
        <w:spacing w:before="240" w:after="60"/>
      </w:pPr>
      <w:r>
        <w:rPr>
          <w:rFonts w:ascii="Calibri" w:hAnsi="Calibri"/>
          <w:b/>
          <w:color w:val="1A1A2E"/>
          <w:sz w:val="24"/>
        </w:rPr>
        <w:t>5.2 Adjacent Technologies (Indirect Competition)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312"/>
            <w:shd w:val="clear" w:color="auto" w:fill="1A2E1A"/>
            <w:vAlign w:val="center"/>
          </w:tcPr>
          <w:p>
            <w:pPr>
              <w:jc w:val="left"/>
            </w:pPr>
            <w:r>
              <w:rPr>
                <w:rFonts w:ascii="Calibri" w:hAnsi="Calibri"/>
                <w:b/>
                <w:color w:val="FFFFFF"/>
                <w:sz w:val="18"/>
              </w:rPr>
              <w:t>COMPANY / TECHNOLOGY</w:t>
            </w:r>
          </w:p>
        </w:tc>
        <w:tc>
          <w:tcPr>
            <w:tcW w:type="dxa" w:w="2160"/>
            <w:shd w:val="clear" w:color="auto" w:fill="1A2E1A"/>
            <w:vAlign w:val="center"/>
          </w:tcPr>
          <w:p>
            <w:pPr>
              <w:jc w:val="left"/>
            </w:pPr>
            <w:r>
              <w:rPr>
                <w:rFonts w:ascii="Calibri" w:hAnsi="Calibri"/>
                <w:b/>
                <w:color w:val="FFFFFF"/>
                <w:sz w:val="18"/>
              </w:rPr>
              <w:t>CATEGORY</w:t>
            </w:r>
          </w:p>
        </w:tc>
        <w:tc>
          <w:tcPr>
            <w:tcW w:type="dxa" w:w="1872"/>
            <w:shd w:val="clear" w:color="auto" w:fill="1A2E1A"/>
            <w:vAlign w:val="center"/>
          </w:tcPr>
          <w:p>
            <w:pPr>
              <w:jc w:val="left"/>
            </w:pPr>
            <w:r>
              <w:rPr>
                <w:rFonts w:ascii="Calibri" w:hAnsi="Calibri"/>
                <w:b/>
                <w:color w:val="FFFFFF"/>
                <w:sz w:val="18"/>
              </w:rPr>
              <w:t>DOD FUNDING</w:t>
            </w:r>
          </w:p>
        </w:tc>
        <w:tc>
          <w:tcPr>
            <w:tcW w:type="dxa" w:w="4176"/>
            <w:shd w:val="clear" w:color="auto" w:fill="1A2E1A"/>
            <w:vAlign w:val="center"/>
          </w:tcPr>
          <w:p>
            <w:pPr>
              <w:jc w:val="left"/>
            </w:pPr>
            <w:r>
              <w:rPr>
                <w:rFonts w:ascii="Calibri" w:hAnsi="Calibri"/>
                <w:b/>
                <w:color w:val="FFFFFF"/>
                <w:sz w:val="18"/>
              </w:rPr>
              <w:t>KEY DIFFERENCE</w:t>
            </w:r>
          </w:p>
        </w:tc>
        <w:tc>
          <w:tcPr>
            <w:tcW w:type="dxa" w:w="1872"/>
            <w:shd w:val="clear" w:color="auto" w:fill="1A2E1A"/>
            <w:vAlign w:val="center"/>
          </w:tcPr>
          <w:p>
            <w:pPr>
              <w:jc w:val="left"/>
            </w:pPr>
            <w:r>
              <w:rPr>
                <w:rFonts w:ascii="Calibri" w:hAnsi="Calibri"/>
                <w:b/>
                <w:color w:val="FFFFFF"/>
                <w:sz w:val="18"/>
              </w:rPr>
              <w:t>THREAT LEVEL</w:t>
            </w:r>
          </w:p>
        </w:tc>
      </w:tr>
      <w:tr>
        <w:tc>
          <w:tcPr>
            <w:tcW w:type="dxa" w:w="3312"/>
            <w:vAlign w:val="center"/>
          </w:tcPr>
          <w:p>
            <w:pPr>
              <w:jc w:val="left"/>
            </w:pPr>
            <w:r>
              <w:rPr>
                <w:rFonts w:ascii="Calibri" w:hAnsi="Calibri"/>
                <w:color w:val="0A0A0A"/>
                <w:sz w:val="19"/>
              </w:rPr>
              <w:t>Windlift</w:t>
            </w:r>
          </w:p>
        </w:tc>
        <w:tc>
          <w:tcPr>
            <w:tcW w:type="dxa" w:w="2160"/>
            <w:vAlign w:val="center"/>
          </w:tcPr>
          <w:p>
            <w:pPr>
              <w:jc w:val="left"/>
            </w:pPr>
            <w:r>
              <w:rPr>
                <w:rFonts w:ascii="Calibri" w:hAnsi="Calibri"/>
                <w:color w:val="0A0A0A"/>
                <w:sz w:val="19"/>
              </w:rPr>
              <w:t>Tethered wind drone</w:t>
            </w:r>
          </w:p>
        </w:tc>
        <w:tc>
          <w:tcPr>
            <w:tcW w:type="dxa" w:w="1872"/>
            <w:vAlign w:val="center"/>
          </w:tcPr>
          <w:p>
            <w:pPr>
              <w:jc w:val="left"/>
            </w:pPr>
            <w:r>
              <w:rPr>
                <w:rFonts w:ascii="Calibri" w:hAnsi="Calibri"/>
                <w:color w:val="0A0A0A"/>
                <w:sz w:val="19"/>
              </w:rPr>
              <w:t>$24M+</w:t>
            </w:r>
          </w:p>
        </w:tc>
        <w:tc>
          <w:tcPr>
            <w:tcW w:type="dxa" w:w="4176"/>
            <w:vAlign w:val="center"/>
          </w:tcPr>
          <w:p>
            <w:pPr>
              <w:jc w:val="left"/>
            </w:pPr>
            <w:r>
              <w:rPr>
                <w:rFonts w:ascii="Calibri" w:hAnsi="Calibri"/>
                <w:color w:val="0A0A0A"/>
                <w:sz w:val="19"/>
              </w:rPr>
              <w:t>Wind-dependent, no power line tap, weather-limited</w:t>
            </w:r>
          </w:p>
        </w:tc>
        <w:tc>
          <w:tcPr>
            <w:tcW w:type="dxa" w:w="1872"/>
            <w:vAlign w:val="center"/>
          </w:tcPr>
          <w:p>
            <w:pPr>
              <w:jc w:val="left"/>
            </w:pPr>
            <w:r>
              <w:rPr>
                <w:rFonts w:ascii="Calibri" w:hAnsi="Calibri"/>
                <w:color w:val="0A0A0A"/>
                <w:sz w:val="19"/>
              </w:rPr>
              <w:t>Medium — watch</w:t>
            </w:r>
          </w:p>
        </w:tc>
      </w:tr>
      <w:tr>
        <w:tc>
          <w:tcPr>
            <w:tcW w:type="dxa" w:w="3312"/>
            <w:shd w:val="clear" w:color="auto" w:fill="F0F4F0"/>
            <w:vAlign w:val="center"/>
          </w:tcPr>
          <w:p>
            <w:pPr>
              <w:jc w:val="left"/>
            </w:pPr>
            <w:r>
              <w:rPr>
                <w:rFonts w:ascii="Calibri" w:hAnsi="Calibri"/>
                <w:color w:val="0A0A0A"/>
                <w:sz w:val="19"/>
              </w:rPr>
              <w:t>DARPA POWER (RTX/Raytheon, Draper, BEAM)</w:t>
            </w:r>
          </w:p>
        </w:tc>
        <w:tc>
          <w:tcPr>
            <w:tcW w:type="dxa" w:w="2160"/>
            <w:shd w:val="clear" w:color="auto" w:fill="F0F4F0"/>
            <w:vAlign w:val="center"/>
          </w:tcPr>
          <w:p>
            <w:pPr>
              <w:jc w:val="left"/>
            </w:pPr>
            <w:r>
              <w:rPr>
                <w:rFonts w:ascii="Calibri" w:hAnsi="Calibri"/>
                <w:color w:val="0A0A0A"/>
                <w:sz w:val="19"/>
              </w:rPr>
              <w:t>Laser power relay</w:t>
            </w:r>
          </w:p>
        </w:tc>
        <w:tc>
          <w:tcPr>
            <w:tcW w:type="dxa" w:w="1872"/>
            <w:shd w:val="clear" w:color="auto" w:fill="F0F4F0"/>
            <w:vAlign w:val="center"/>
          </w:tcPr>
          <w:p>
            <w:pPr>
              <w:jc w:val="left"/>
            </w:pPr>
            <w:r>
              <w:rPr>
                <w:rFonts w:ascii="Calibri" w:hAnsi="Calibri"/>
                <w:color w:val="0A0A0A"/>
                <w:sz w:val="19"/>
              </w:rPr>
              <w:t>$10M</w:t>
            </w:r>
          </w:p>
        </w:tc>
        <w:tc>
          <w:tcPr>
            <w:tcW w:type="dxa" w:w="4176"/>
            <w:shd w:val="clear" w:color="auto" w:fill="F0F4F0"/>
            <w:vAlign w:val="center"/>
          </w:tcPr>
          <w:p>
            <w:pPr>
              <w:jc w:val="left"/>
            </w:pPr>
            <w:r>
              <w:rPr>
                <w:rFonts w:ascii="Calibri" w:hAnsi="Calibri"/>
                <w:color w:val="0A0A0A"/>
                <w:sz w:val="19"/>
              </w:rPr>
              <w:t>Optical/wireless; totally different physics; no tether</w:t>
            </w:r>
          </w:p>
        </w:tc>
        <w:tc>
          <w:tcPr>
            <w:tcW w:type="dxa" w:w="1872"/>
            <w:shd w:val="clear" w:color="auto" w:fill="F0F4F0"/>
            <w:vAlign w:val="center"/>
          </w:tcPr>
          <w:p>
            <w:pPr>
              <w:jc w:val="left"/>
            </w:pPr>
            <w:r>
              <w:rPr>
                <w:rFonts w:ascii="Calibri" w:hAnsi="Calibri"/>
                <w:color w:val="0A0A0A"/>
                <w:sz w:val="19"/>
              </w:rPr>
              <w:t>Low</w:t>
            </w:r>
          </w:p>
        </w:tc>
      </w:tr>
      <w:tr>
        <w:tc>
          <w:tcPr>
            <w:tcW w:type="dxa" w:w="3312"/>
            <w:vAlign w:val="center"/>
          </w:tcPr>
          <w:p>
            <w:pPr>
              <w:jc w:val="left"/>
            </w:pPr>
            <w:r>
              <w:rPr>
                <w:rFonts w:ascii="Calibri" w:hAnsi="Calibri"/>
                <w:color w:val="0A0A0A"/>
                <w:sz w:val="19"/>
              </w:rPr>
              <w:t>Solar + battery hybrids</w:t>
            </w:r>
          </w:p>
        </w:tc>
        <w:tc>
          <w:tcPr>
            <w:tcW w:type="dxa" w:w="2160"/>
            <w:vAlign w:val="center"/>
          </w:tcPr>
          <w:p>
            <w:pPr>
              <w:jc w:val="left"/>
            </w:pPr>
            <w:r>
              <w:rPr>
                <w:rFonts w:ascii="Calibri" w:hAnsi="Calibri"/>
                <w:color w:val="0A0A0A"/>
                <w:sz w:val="19"/>
              </w:rPr>
              <w:t>Renewable field power</w:t>
            </w:r>
          </w:p>
        </w:tc>
        <w:tc>
          <w:tcPr>
            <w:tcW w:type="dxa" w:w="1872"/>
            <w:vAlign w:val="center"/>
          </w:tcPr>
          <w:p>
            <w:pPr>
              <w:jc w:val="left"/>
            </w:pPr>
            <w:r>
              <w:rPr>
                <w:rFonts w:ascii="Calibri" w:hAnsi="Calibri"/>
                <w:color w:val="0A0A0A"/>
                <w:sz w:val="19"/>
              </w:rPr>
              <w:t>Widespread</w:t>
            </w:r>
          </w:p>
        </w:tc>
        <w:tc>
          <w:tcPr>
            <w:tcW w:type="dxa" w:w="4176"/>
            <w:vAlign w:val="center"/>
          </w:tcPr>
          <w:p>
            <w:pPr>
              <w:jc w:val="left"/>
            </w:pPr>
            <w:r>
              <w:rPr>
                <w:rFonts w:ascii="Calibri" w:hAnsi="Calibri"/>
                <w:color w:val="0A0A0A"/>
                <w:sz w:val="19"/>
              </w:rPr>
              <w:t>30–50% fuel reduction only; still weather/sun dependent</w:t>
            </w:r>
          </w:p>
        </w:tc>
        <w:tc>
          <w:tcPr>
            <w:tcW w:type="dxa" w:w="1872"/>
            <w:vAlign w:val="center"/>
          </w:tcPr>
          <w:p>
            <w:pPr>
              <w:jc w:val="left"/>
            </w:pPr>
            <w:r>
              <w:rPr>
                <w:rFonts w:ascii="Calibri" w:hAnsi="Calibri"/>
                <w:color w:val="0A0A0A"/>
                <w:sz w:val="19"/>
              </w:rPr>
              <w:t>Low</w:t>
            </w:r>
          </w:p>
        </w:tc>
      </w:tr>
      <w:tr>
        <w:tc>
          <w:tcPr>
            <w:tcW w:type="dxa" w:w="3312"/>
            <w:shd w:val="clear" w:color="auto" w:fill="F0F4F0"/>
            <w:vAlign w:val="center"/>
          </w:tcPr>
          <w:p>
            <w:pPr>
              <w:jc w:val="left"/>
            </w:pPr>
            <w:r>
              <w:rPr>
                <w:rFonts w:ascii="Calibri" w:hAnsi="Calibri"/>
                <w:color w:val="0A0A0A"/>
                <w:sz w:val="19"/>
              </w:rPr>
              <w:t>Diesel generators (MEP series)</w:t>
            </w:r>
          </w:p>
        </w:tc>
        <w:tc>
          <w:tcPr>
            <w:tcW w:type="dxa" w:w="2160"/>
            <w:shd w:val="clear" w:color="auto" w:fill="F0F4F0"/>
            <w:vAlign w:val="center"/>
          </w:tcPr>
          <w:p>
            <w:pPr>
              <w:jc w:val="left"/>
            </w:pPr>
            <w:r>
              <w:rPr>
                <w:rFonts w:ascii="Calibri" w:hAnsi="Calibri"/>
                <w:color w:val="0A0A0A"/>
                <w:sz w:val="19"/>
              </w:rPr>
              <w:t>Incumbent power</w:t>
            </w:r>
          </w:p>
        </w:tc>
        <w:tc>
          <w:tcPr>
            <w:tcW w:type="dxa" w:w="1872"/>
            <w:shd w:val="clear" w:color="auto" w:fill="F0F4F0"/>
            <w:vAlign w:val="center"/>
          </w:tcPr>
          <w:p>
            <w:pPr>
              <w:jc w:val="left"/>
            </w:pPr>
            <w:r>
              <w:rPr>
                <w:rFonts w:ascii="Calibri" w:hAnsi="Calibri"/>
                <w:color w:val="0A0A0A"/>
                <w:sz w:val="19"/>
              </w:rPr>
              <w:t>Incumbent</w:t>
            </w:r>
          </w:p>
        </w:tc>
        <w:tc>
          <w:tcPr>
            <w:tcW w:type="dxa" w:w="4176"/>
            <w:shd w:val="clear" w:color="auto" w:fill="F0F4F0"/>
            <w:vAlign w:val="center"/>
          </w:tcPr>
          <w:p>
            <w:pPr>
              <w:jc w:val="left"/>
            </w:pPr>
            <w:r>
              <w:rPr>
                <w:rFonts w:ascii="Calibri" w:hAnsi="Calibri"/>
                <w:color w:val="0A0A0A"/>
                <w:sz w:val="19"/>
              </w:rPr>
              <w:t>Fuel-dependent, loud, logistics tail — what we replace</w:t>
            </w:r>
          </w:p>
        </w:tc>
        <w:tc>
          <w:tcPr>
            <w:tcW w:type="dxa" w:w="1872"/>
            <w:shd w:val="clear" w:color="auto" w:fill="F0F4F0"/>
            <w:vAlign w:val="center"/>
          </w:tcPr>
          <w:p>
            <w:pPr>
              <w:jc w:val="left"/>
            </w:pPr>
            <w:r>
              <w:rPr>
                <w:rFonts w:ascii="Calibri" w:hAnsi="Calibri"/>
                <w:color w:val="0A0A0A"/>
                <w:sz w:val="19"/>
              </w:rPr>
              <w:t>None (target)</w:t>
            </w:r>
          </w:p>
        </w:tc>
      </w:tr>
      <w:tr>
        <w:tc>
          <w:tcPr>
            <w:tcW w:type="dxa" w:w="3312"/>
            <w:vAlign w:val="center"/>
          </w:tcPr>
          <w:p>
            <w:pPr>
              <w:jc w:val="left"/>
            </w:pPr>
            <w:r>
              <w:rPr>
                <w:rFonts w:ascii="Calibri" w:hAnsi="Calibri"/>
                <w:color w:val="0A0A0A"/>
                <w:sz w:val="19"/>
              </w:rPr>
              <w:t>DARPA ExPEDitions</w:t>
            </w:r>
          </w:p>
        </w:tc>
        <w:tc>
          <w:tcPr>
            <w:tcW w:type="dxa" w:w="2160"/>
            <w:vAlign w:val="center"/>
          </w:tcPr>
          <w:p>
            <w:pPr>
              <w:jc w:val="left"/>
            </w:pPr>
            <w:r>
              <w:rPr>
                <w:rFonts w:ascii="Calibri" w:hAnsi="Calibri"/>
                <w:color w:val="0A0A0A"/>
                <w:sz w:val="19"/>
              </w:rPr>
              <w:t>Next-gen batteries</w:t>
            </w:r>
          </w:p>
        </w:tc>
        <w:tc>
          <w:tcPr>
            <w:tcW w:type="dxa" w:w="1872"/>
            <w:vAlign w:val="center"/>
          </w:tcPr>
          <w:p>
            <w:pPr>
              <w:jc w:val="left"/>
            </w:pPr>
            <w:r>
              <w:rPr>
                <w:rFonts w:ascii="Calibri" w:hAnsi="Calibri"/>
                <w:color w:val="0A0A0A"/>
                <w:sz w:val="19"/>
              </w:rPr>
              <w:t>Active</w:t>
            </w:r>
          </w:p>
        </w:tc>
        <w:tc>
          <w:tcPr>
            <w:tcW w:type="dxa" w:w="4176"/>
            <w:vAlign w:val="center"/>
          </w:tcPr>
          <w:p>
            <w:pPr>
              <w:jc w:val="left"/>
            </w:pPr>
            <w:r>
              <w:rPr>
                <w:rFonts w:ascii="Calibri" w:hAnsi="Calibri"/>
                <w:color w:val="0A0A0A"/>
                <w:sz w:val="19"/>
              </w:rPr>
              <w:t>Improves battery density, not power sourcing</w:t>
            </w:r>
          </w:p>
        </w:tc>
        <w:tc>
          <w:tcPr>
            <w:tcW w:type="dxa" w:w="1872"/>
            <w:vAlign w:val="center"/>
          </w:tcPr>
          <w:p>
            <w:pPr>
              <w:jc w:val="left"/>
            </w:pPr>
            <w:r>
              <w:rPr>
                <w:rFonts w:ascii="Calibri" w:hAnsi="Calibri"/>
                <w:color w:val="0A0A0A"/>
                <w:sz w:val="19"/>
              </w:rPr>
              <w:t>Low</w:t>
            </w:r>
          </w:p>
        </w:tc>
      </w:tr>
    </w:tbl>
    <w:p/>
    <w:p>
      <w:pPr>
        <w:spacing w:before="240" w:after="60"/>
      </w:pPr>
      <w:r>
        <w:rPr>
          <w:rFonts w:ascii="Calibri" w:hAnsi="Calibri"/>
          <w:b/>
          <w:color w:val="1A1A2E"/>
          <w:sz w:val="24"/>
        </w:rPr>
        <w:t>5.3 Competitive Positioning Matrix</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3600"/>
            <w:shd w:val="clear" w:color="auto" w:fill="1A2E1A"/>
            <w:vAlign w:val="center"/>
          </w:tcPr>
          <w:p>
            <w:pPr>
              <w:jc w:val="left"/>
            </w:pPr>
            <w:r>
              <w:rPr>
                <w:rFonts w:ascii="Calibri" w:hAnsi="Calibri"/>
                <w:b/>
                <w:color w:val="FFFFFF"/>
                <w:sz w:val="18"/>
              </w:rPr>
              <w:t>CAPABILITY</w:t>
            </w:r>
          </w:p>
        </w:tc>
        <w:tc>
          <w:tcPr>
            <w:tcW w:type="dxa" w:w="1872"/>
            <w:shd w:val="clear" w:color="auto" w:fill="1A2E1A"/>
            <w:vAlign w:val="center"/>
          </w:tcPr>
          <w:p>
            <w:pPr>
              <w:jc w:val="left"/>
            </w:pPr>
            <w:r>
              <w:rPr>
                <w:rFonts w:ascii="Calibri" w:hAnsi="Calibri"/>
                <w:b/>
                <w:color w:val="FFFFFF"/>
                <w:sz w:val="18"/>
              </w:rPr>
              <w:t>CHARGEBOTIC</w:t>
            </w:r>
          </w:p>
        </w:tc>
        <w:tc>
          <w:tcPr>
            <w:tcW w:type="dxa" w:w="1728"/>
            <w:shd w:val="clear" w:color="auto" w:fill="1A2E1A"/>
            <w:vAlign w:val="center"/>
          </w:tcPr>
          <w:p>
            <w:pPr>
              <w:jc w:val="left"/>
            </w:pPr>
            <w:r>
              <w:rPr>
                <w:rFonts w:ascii="Calibri" w:hAnsi="Calibri"/>
                <w:b/>
                <w:color w:val="FFFFFF"/>
                <w:sz w:val="18"/>
              </w:rPr>
              <w:t>WINDLIFT</w:t>
            </w:r>
          </w:p>
        </w:tc>
        <w:tc>
          <w:tcPr>
            <w:tcW w:type="dxa" w:w="2016"/>
            <w:shd w:val="clear" w:color="auto" w:fill="1A2E1A"/>
            <w:vAlign w:val="center"/>
          </w:tcPr>
          <w:p>
            <w:pPr>
              <w:jc w:val="left"/>
            </w:pPr>
            <w:r>
              <w:rPr>
                <w:rFonts w:ascii="Calibri" w:hAnsi="Calibri"/>
                <w:b/>
                <w:color w:val="FFFFFF"/>
                <w:sz w:val="18"/>
              </w:rPr>
              <w:t>SOLAR/BATTERY</w:t>
            </w:r>
          </w:p>
        </w:tc>
        <w:tc>
          <w:tcPr>
            <w:tcW w:type="dxa" w:w="1872"/>
            <w:shd w:val="clear" w:color="auto" w:fill="1A2E1A"/>
            <w:vAlign w:val="center"/>
          </w:tcPr>
          <w:p>
            <w:pPr>
              <w:jc w:val="left"/>
            </w:pPr>
            <w:r>
              <w:rPr>
                <w:rFonts w:ascii="Calibri" w:hAnsi="Calibri"/>
                <w:b/>
                <w:color w:val="FFFFFF"/>
                <w:sz w:val="18"/>
              </w:rPr>
              <w:t>DIESEL GEN.</w:t>
            </w:r>
          </w:p>
        </w:tc>
        <w:tc>
          <w:tcPr>
            <w:tcW w:type="dxa" w:w="2304"/>
            <w:shd w:val="clear" w:color="auto" w:fill="1A2E1A"/>
            <w:vAlign w:val="center"/>
          </w:tcPr>
          <w:p>
            <w:pPr>
              <w:jc w:val="left"/>
            </w:pPr>
            <w:r>
              <w:rPr>
                <w:rFonts w:ascii="Calibri" w:hAnsi="Calibri"/>
                <w:b/>
                <w:color w:val="FFFFFF"/>
                <w:sz w:val="18"/>
              </w:rPr>
              <w:t>DARPA POWER</w:t>
            </w:r>
          </w:p>
        </w:tc>
      </w:tr>
      <w:tr>
        <w:tc>
          <w:tcPr>
            <w:tcW w:type="dxa" w:w="3600"/>
            <w:vAlign w:val="center"/>
          </w:tcPr>
          <w:p>
            <w:pPr>
              <w:jc w:val="left"/>
            </w:pPr>
            <w:r>
              <w:rPr>
                <w:rFonts w:ascii="Calibri" w:hAnsi="Calibri"/>
                <w:color w:val="0A0A0A"/>
                <w:sz w:val="19"/>
              </w:rPr>
              <w:t>Taps existing infrastructure</w:t>
            </w:r>
          </w:p>
        </w:tc>
        <w:tc>
          <w:tcPr>
            <w:tcW w:type="dxa" w:w="1872"/>
            <w:vAlign w:val="center"/>
          </w:tcPr>
          <w:p>
            <w:pPr>
              <w:jc w:val="left"/>
            </w:pPr>
            <w:r>
              <w:rPr>
                <w:rFonts w:ascii="Calibri" w:hAnsi="Calibri"/>
                <w:color w:val="0A0A0A"/>
                <w:sz w:val="19"/>
              </w:rPr>
              <w:t>✓</w:t>
            </w:r>
          </w:p>
        </w:tc>
        <w:tc>
          <w:tcPr>
            <w:tcW w:type="dxa" w:w="1728"/>
            <w:vAlign w:val="center"/>
          </w:tcPr>
          <w:p>
            <w:pPr>
              <w:jc w:val="left"/>
            </w:pPr>
            <w:r>
              <w:rPr>
                <w:rFonts w:ascii="Calibri" w:hAnsi="Calibri"/>
                <w:color w:val="0A0A0A"/>
                <w:sz w:val="19"/>
              </w:rPr>
              <w:t>✗</w:t>
            </w:r>
          </w:p>
        </w:tc>
        <w:tc>
          <w:tcPr>
            <w:tcW w:type="dxa" w:w="2016"/>
            <w:vAlign w:val="center"/>
          </w:tcPr>
          <w:p>
            <w:pPr>
              <w:jc w:val="left"/>
            </w:pPr>
            <w:r>
              <w:rPr>
                <w:rFonts w:ascii="Calibri" w:hAnsi="Calibri"/>
                <w:color w:val="0A0A0A"/>
                <w:sz w:val="19"/>
              </w:rPr>
              <w:t>✗</w:t>
            </w:r>
          </w:p>
        </w:tc>
        <w:tc>
          <w:tcPr>
            <w:tcW w:type="dxa" w:w="1872"/>
            <w:vAlign w:val="center"/>
          </w:tcPr>
          <w:p>
            <w:pPr>
              <w:jc w:val="left"/>
            </w:pPr>
            <w:r>
              <w:rPr>
                <w:rFonts w:ascii="Calibri" w:hAnsi="Calibri"/>
                <w:color w:val="0A0A0A"/>
                <w:sz w:val="19"/>
              </w:rPr>
              <w:t>✗</w:t>
            </w:r>
          </w:p>
        </w:tc>
        <w:tc>
          <w:tcPr>
            <w:tcW w:type="dxa" w:w="2304"/>
            <w:vAlign w:val="center"/>
          </w:tcPr>
          <w:p>
            <w:pPr>
              <w:jc w:val="left"/>
            </w:pPr>
            <w:r>
              <w:rPr>
                <w:rFonts w:ascii="Calibri" w:hAnsi="Calibri"/>
                <w:color w:val="0A0A0A"/>
                <w:sz w:val="19"/>
              </w:rPr>
              <w:t>✗</w:t>
            </w:r>
          </w:p>
        </w:tc>
      </w:tr>
      <w:tr>
        <w:tc>
          <w:tcPr>
            <w:tcW w:type="dxa" w:w="3600"/>
            <w:shd w:val="clear" w:color="auto" w:fill="F0F4F0"/>
            <w:vAlign w:val="center"/>
          </w:tcPr>
          <w:p>
            <w:pPr>
              <w:jc w:val="left"/>
            </w:pPr>
            <w:r>
              <w:rPr>
                <w:rFonts w:ascii="Calibri" w:hAnsi="Calibri"/>
                <w:color w:val="0A0A0A"/>
                <w:sz w:val="19"/>
              </w:rPr>
              <w:t>Weather-independent</w:t>
            </w:r>
          </w:p>
        </w:tc>
        <w:tc>
          <w:tcPr>
            <w:tcW w:type="dxa" w:w="1872"/>
            <w:shd w:val="clear" w:color="auto" w:fill="F0F4F0"/>
            <w:vAlign w:val="center"/>
          </w:tcPr>
          <w:p>
            <w:pPr>
              <w:jc w:val="left"/>
            </w:pPr>
            <w:r>
              <w:rPr>
                <w:rFonts w:ascii="Calibri" w:hAnsi="Calibri"/>
                <w:color w:val="0A0A0A"/>
                <w:sz w:val="19"/>
              </w:rPr>
              <w:t>✓</w:t>
            </w:r>
          </w:p>
        </w:tc>
        <w:tc>
          <w:tcPr>
            <w:tcW w:type="dxa" w:w="1728"/>
            <w:shd w:val="clear" w:color="auto" w:fill="F0F4F0"/>
            <w:vAlign w:val="center"/>
          </w:tcPr>
          <w:p>
            <w:pPr>
              <w:jc w:val="left"/>
            </w:pPr>
            <w:r>
              <w:rPr>
                <w:rFonts w:ascii="Calibri" w:hAnsi="Calibri"/>
                <w:color w:val="0A0A0A"/>
                <w:sz w:val="19"/>
              </w:rPr>
              <w:t>✗</w:t>
            </w:r>
          </w:p>
        </w:tc>
        <w:tc>
          <w:tcPr>
            <w:tcW w:type="dxa" w:w="2016"/>
            <w:shd w:val="clear" w:color="auto" w:fill="F0F4F0"/>
            <w:vAlign w:val="center"/>
          </w:tcPr>
          <w:p>
            <w:pPr>
              <w:jc w:val="left"/>
            </w:pPr>
            <w:r>
              <w:rPr>
                <w:rFonts w:ascii="Calibri" w:hAnsi="Calibri"/>
                <w:color w:val="0A0A0A"/>
                <w:sz w:val="19"/>
              </w:rPr>
              <w:t>✗</w:t>
            </w:r>
          </w:p>
        </w:tc>
        <w:tc>
          <w:tcPr>
            <w:tcW w:type="dxa" w:w="1872"/>
            <w:shd w:val="clear" w:color="auto" w:fill="F0F4F0"/>
            <w:vAlign w:val="center"/>
          </w:tcPr>
          <w:p>
            <w:pPr>
              <w:jc w:val="left"/>
            </w:pPr>
            <w:r>
              <w:rPr>
                <w:rFonts w:ascii="Calibri" w:hAnsi="Calibri"/>
                <w:color w:val="0A0A0A"/>
                <w:sz w:val="19"/>
              </w:rPr>
              <w:t>✓</w:t>
            </w:r>
          </w:p>
        </w:tc>
        <w:tc>
          <w:tcPr>
            <w:tcW w:type="dxa" w:w="2304"/>
            <w:shd w:val="clear" w:color="auto" w:fill="F0F4F0"/>
            <w:vAlign w:val="center"/>
          </w:tcPr>
          <w:p>
            <w:pPr>
              <w:jc w:val="left"/>
            </w:pPr>
            <w:r>
              <w:rPr>
                <w:rFonts w:ascii="Calibri" w:hAnsi="Calibri"/>
                <w:color w:val="0A0A0A"/>
                <w:sz w:val="19"/>
              </w:rPr>
              <w:t>✓</w:t>
            </w:r>
          </w:p>
        </w:tc>
      </w:tr>
      <w:tr>
        <w:tc>
          <w:tcPr>
            <w:tcW w:type="dxa" w:w="3600"/>
            <w:vAlign w:val="center"/>
          </w:tcPr>
          <w:p>
            <w:pPr>
              <w:jc w:val="left"/>
            </w:pPr>
            <w:r>
              <w:rPr>
                <w:rFonts w:ascii="Calibri" w:hAnsi="Calibri"/>
                <w:color w:val="0A0A0A"/>
                <w:sz w:val="19"/>
              </w:rPr>
              <w:t>Continuous power (24/7)</w:t>
            </w:r>
          </w:p>
        </w:tc>
        <w:tc>
          <w:tcPr>
            <w:tcW w:type="dxa" w:w="1872"/>
            <w:vAlign w:val="center"/>
          </w:tcPr>
          <w:p>
            <w:pPr>
              <w:jc w:val="left"/>
            </w:pPr>
            <w:r>
              <w:rPr>
                <w:rFonts w:ascii="Calibri" w:hAnsi="Calibri"/>
                <w:color w:val="0A0A0A"/>
                <w:sz w:val="19"/>
              </w:rPr>
              <w:t>✓</w:t>
            </w:r>
          </w:p>
        </w:tc>
        <w:tc>
          <w:tcPr>
            <w:tcW w:type="dxa" w:w="1728"/>
            <w:vAlign w:val="center"/>
          </w:tcPr>
          <w:p>
            <w:pPr>
              <w:jc w:val="left"/>
            </w:pPr>
            <w:r>
              <w:rPr>
                <w:rFonts w:ascii="Calibri" w:hAnsi="Calibri"/>
                <w:color w:val="0A0A0A"/>
                <w:sz w:val="19"/>
              </w:rPr>
              <w:t>✗</w:t>
            </w:r>
          </w:p>
        </w:tc>
        <w:tc>
          <w:tcPr>
            <w:tcW w:type="dxa" w:w="2016"/>
            <w:vAlign w:val="center"/>
          </w:tcPr>
          <w:p>
            <w:pPr>
              <w:jc w:val="left"/>
            </w:pPr>
            <w:r>
              <w:rPr>
                <w:rFonts w:ascii="Calibri" w:hAnsi="Calibri"/>
                <w:color w:val="0A0A0A"/>
                <w:sz w:val="19"/>
              </w:rPr>
              <w:t>✗</w:t>
            </w:r>
          </w:p>
        </w:tc>
        <w:tc>
          <w:tcPr>
            <w:tcW w:type="dxa" w:w="1872"/>
            <w:vAlign w:val="center"/>
          </w:tcPr>
          <w:p>
            <w:pPr>
              <w:jc w:val="left"/>
            </w:pPr>
            <w:r>
              <w:rPr>
                <w:rFonts w:ascii="Calibri" w:hAnsi="Calibri"/>
                <w:color w:val="0A0A0A"/>
                <w:sz w:val="19"/>
              </w:rPr>
              <w:t>✓</w:t>
            </w:r>
          </w:p>
        </w:tc>
        <w:tc>
          <w:tcPr>
            <w:tcW w:type="dxa" w:w="2304"/>
            <w:vAlign w:val="center"/>
          </w:tcPr>
          <w:p>
            <w:pPr>
              <w:jc w:val="left"/>
            </w:pPr>
            <w:r>
              <w:rPr>
                <w:rFonts w:ascii="Calibri" w:hAnsi="Calibri"/>
                <w:color w:val="0A0A0A"/>
                <w:sz w:val="19"/>
              </w:rPr>
              <w:t>Partial</w:t>
            </w:r>
          </w:p>
        </w:tc>
      </w:tr>
      <w:tr>
        <w:tc>
          <w:tcPr>
            <w:tcW w:type="dxa" w:w="3600"/>
            <w:shd w:val="clear" w:color="auto" w:fill="F0F4F0"/>
            <w:vAlign w:val="center"/>
          </w:tcPr>
          <w:p>
            <w:pPr>
              <w:jc w:val="left"/>
            </w:pPr>
            <w:r>
              <w:rPr>
                <w:rFonts w:ascii="Calibri" w:hAnsi="Calibri"/>
                <w:color w:val="0A0A0A"/>
                <w:sz w:val="19"/>
              </w:rPr>
              <w:t>Zero fuel required</w:t>
            </w:r>
          </w:p>
        </w:tc>
        <w:tc>
          <w:tcPr>
            <w:tcW w:type="dxa" w:w="1872"/>
            <w:shd w:val="clear" w:color="auto" w:fill="F0F4F0"/>
            <w:vAlign w:val="center"/>
          </w:tcPr>
          <w:p>
            <w:pPr>
              <w:jc w:val="left"/>
            </w:pPr>
            <w:r>
              <w:rPr>
                <w:rFonts w:ascii="Calibri" w:hAnsi="Calibri"/>
                <w:color w:val="0A0A0A"/>
                <w:sz w:val="19"/>
              </w:rPr>
              <w:t>✓</w:t>
            </w:r>
          </w:p>
        </w:tc>
        <w:tc>
          <w:tcPr>
            <w:tcW w:type="dxa" w:w="1728"/>
            <w:shd w:val="clear" w:color="auto" w:fill="F0F4F0"/>
            <w:vAlign w:val="center"/>
          </w:tcPr>
          <w:p>
            <w:pPr>
              <w:jc w:val="left"/>
            </w:pPr>
            <w:r>
              <w:rPr>
                <w:rFonts w:ascii="Calibri" w:hAnsi="Calibri"/>
                <w:color w:val="0A0A0A"/>
                <w:sz w:val="19"/>
              </w:rPr>
              <w:t>✓</w:t>
            </w:r>
          </w:p>
        </w:tc>
        <w:tc>
          <w:tcPr>
            <w:tcW w:type="dxa" w:w="2016"/>
            <w:shd w:val="clear" w:color="auto" w:fill="F0F4F0"/>
            <w:vAlign w:val="center"/>
          </w:tcPr>
          <w:p>
            <w:pPr>
              <w:jc w:val="left"/>
            </w:pPr>
            <w:r>
              <w:rPr>
                <w:rFonts w:ascii="Calibri" w:hAnsi="Calibri"/>
                <w:color w:val="0A0A0A"/>
                <w:sz w:val="19"/>
              </w:rPr>
              <w:t>✓</w:t>
            </w:r>
          </w:p>
        </w:tc>
        <w:tc>
          <w:tcPr>
            <w:tcW w:type="dxa" w:w="1872"/>
            <w:shd w:val="clear" w:color="auto" w:fill="F0F4F0"/>
            <w:vAlign w:val="center"/>
          </w:tcPr>
          <w:p>
            <w:pPr>
              <w:jc w:val="left"/>
            </w:pPr>
            <w:r>
              <w:rPr>
                <w:rFonts w:ascii="Calibri" w:hAnsi="Calibri"/>
                <w:color w:val="0A0A0A"/>
                <w:sz w:val="19"/>
              </w:rPr>
              <w:t>✗</w:t>
            </w:r>
          </w:p>
        </w:tc>
        <w:tc>
          <w:tcPr>
            <w:tcW w:type="dxa" w:w="2304"/>
            <w:shd w:val="clear" w:color="auto" w:fill="F0F4F0"/>
            <w:vAlign w:val="center"/>
          </w:tcPr>
          <w:p>
            <w:pPr>
              <w:jc w:val="left"/>
            </w:pPr>
            <w:r>
              <w:rPr>
                <w:rFonts w:ascii="Calibri" w:hAnsi="Calibri"/>
                <w:color w:val="0A0A0A"/>
                <w:sz w:val="19"/>
              </w:rPr>
              <w:t>✓</w:t>
            </w:r>
          </w:p>
        </w:tc>
      </w:tr>
      <w:tr>
        <w:tc>
          <w:tcPr>
            <w:tcW w:type="dxa" w:w="3600"/>
            <w:vAlign w:val="center"/>
          </w:tcPr>
          <w:p>
            <w:pPr>
              <w:jc w:val="left"/>
            </w:pPr>
            <w:r>
              <w:rPr>
                <w:rFonts w:ascii="Calibri" w:hAnsi="Calibri"/>
                <w:color w:val="0A0A0A"/>
                <w:sz w:val="19"/>
              </w:rPr>
              <w:t>Autonomous deployment</w:t>
            </w:r>
          </w:p>
        </w:tc>
        <w:tc>
          <w:tcPr>
            <w:tcW w:type="dxa" w:w="1872"/>
            <w:vAlign w:val="center"/>
          </w:tcPr>
          <w:p>
            <w:pPr>
              <w:jc w:val="left"/>
            </w:pPr>
            <w:r>
              <w:rPr>
                <w:rFonts w:ascii="Calibri" w:hAnsi="Calibri"/>
                <w:color w:val="0A0A0A"/>
                <w:sz w:val="19"/>
              </w:rPr>
              <w:t>✓</w:t>
            </w:r>
          </w:p>
        </w:tc>
        <w:tc>
          <w:tcPr>
            <w:tcW w:type="dxa" w:w="1728"/>
            <w:vAlign w:val="center"/>
          </w:tcPr>
          <w:p>
            <w:pPr>
              <w:jc w:val="left"/>
            </w:pPr>
            <w:r>
              <w:rPr>
                <w:rFonts w:ascii="Calibri" w:hAnsi="Calibri"/>
                <w:color w:val="0A0A0A"/>
                <w:sz w:val="19"/>
              </w:rPr>
              <w:t>✓</w:t>
            </w:r>
          </w:p>
        </w:tc>
        <w:tc>
          <w:tcPr>
            <w:tcW w:type="dxa" w:w="2016"/>
            <w:vAlign w:val="center"/>
          </w:tcPr>
          <w:p>
            <w:pPr>
              <w:jc w:val="left"/>
            </w:pPr>
            <w:r>
              <w:rPr>
                <w:rFonts w:ascii="Calibri" w:hAnsi="Calibri"/>
                <w:color w:val="0A0A0A"/>
                <w:sz w:val="19"/>
              </w:rPr>
              <w:t>✗</w:t>
            </w:r>
          </w:p>
        </w:tc>
        <w:tc>
          <w:tcPr>
            <w:tcW w:type="dxa" w:w="1872"/>
            <w:vAlign w:val="center"/>
          </w:tcPr>
          <w:p>
            <w:pPr>
              <w:jc w:val="left"/>
            </w:pPr>
            <w:r>
              <w:rPr>
                <w:rFonts w:ascii="Calibri" w:hAnsi="Calibri"/>
                <w:color w:val="0A0A0A"/>
                <w:sz w:val="19"/>
              </w:rPr>
              <w:t>✗</w:t>
            </w:r>
          </w:p>
        </w:tc>
        <w:tc>
          <w:tcPr>
            <w:tcW w:type="dxa" w:w="2304"/>
            <w:vAlign w:val="center"/>
          </w:tcPr>
          <w:p>
            <w:pPr>
              <w:jc w:val="left"/>
            </w:pPr>
            <w:r>
              <w:rPr>
                <w:rFonts w:ascii="Calibri" w:hAnsi="Calibri"/>
                <w:color w:val="0A0A0A"/>
                <w:sz w:val="19"/>
              </w:rPr>
              <w:t>✗</w:t>
            </w:r>
          </w:p>
        </w:tc>
      </w:tr>
      <w:tr>
        <w:tc>
          <w:tcPr>
            <w:tcW w:type="dxa" w:w="3600"/>
            <w:shd w:val="clear" w:color="auto" w:fill="F0F4F0"/>
            <w:vAlign w:val="center"/>
          </w:tcPr>
          <w:p>
            <w:pPr>
              <w:jc w:val="left"/>
            </w:pPr>
            <w:r>
              <w:rPr>
                <w:rFonts w:ascii="Calibri" w:hAnsi="Calibri"/>
                <w:color w:val="0A0A0A"/>
                <w:sz w:val="19"/>
              </w:rPr>
              <w:t>No logistics tail</w:t>
            </w:r>
          </w:p>
        </w:tc>
        <w:tc>
          <w:tcPr>
            <w:tcW w:type="dxa" w:w="1872"/>
            <w:shd w:val="clear" w:color="auto" w:fill="F0F4F0"/>
            <w:vAlign w:val="center"/>
          </w:tcPr>
          <w:p>
            <w:pPr>
              <w:jc w:val="left"/>
            </w:pPr>
            <w:r>
              <w:rPr>
                <w:rFonts w:ascii="Calibri" w:hAnsi="Calibri"/>
                <w:color w:val="0A0A0A"/>
                <w:sz w:val="19"/>
              </w:rPr>
              <w:t>✓</w:t>
            </w:r>
          </w:p>
        </w:tc>
        <w:tc>
          <w:tcPr>
            <w:tcW w:type="dxa" w:w="1728"/>
            <w:shd w:val="clear" w:color="auto" w:fill="F0F4F0"/>
            <w:vAlign w:val="center"/>
          </w:tcPr>
          <w:p>
            <w:pPr>
              <w:jc w:val="left"/>
            </w:pPr>
            <w:r>
              <w:rPr>
                <w:rFonts w:ascii="Calibri" w:hAnsi="Calibri"/>
                <w:color w:val="0A0A0A"/>
                <w:sz w:val="19"/>
              </w:rPr>
              <w:t>✓</w:t>
            </w:r>
          </w:p>
        </w:tc>
        <w:tc>
          <w:tcPr>
            <w:tcW w:type="dxa" w:w="2016"/>
            <w:shd w:val="clear" w:color="auto" w:fill="F0F4F0"/>
            <w:vAlign w:val="center"/>
          </w:tcPr>
          <w:p>
            <w:pPr>
              <w:jc w:val="left"/>
            </w:pPr>
            <w:r>
              <w:rPr>
                <w:rFonts w:ascii="Calibri" w:hAnsi="Calibri"/>
                <w:color w:val="0A0A0A"/>
                <w:sz w:val="19"/>
              </w:rPr>
              <w:t>Partial</w:t>
            </w:r>
          </w:p>
        </w:tc>
        <w:tc>
          <w:tcPr>
            <w:tcW w:type="dxa" w:w="1872"/>
            <w:shd w:val="clear" w:color="auto" w:fill="F0F4F0"/>
            <w:vAlign w:val="center"/>
          </w:tcPr>
          <w:p>
            <w:pPr>
              <w:jc w:val="left"/>
            </w:pPr>
            <w:r>
              <w:rPr>
                <w:rFonts w:ascii="Calibri" w:hAnsi="Calibri"/>
                <w:color w:val="0A0A0A"/>
                <w:sz w:val="19"/>
              </w:rPr>
              <w:t>✗</w:t>
            </w:r>
          </w:p>
        </w:tc>
        <w:tc>
          <w:tcPr>
            <w:tcW w:type="dxa" w:w="2304"/>
            <w:shd w:val="clear" w:color="auto" w:fill="F0F4F0"/>
            <w:vAlign w:val="center"/>
          </w:tcPr>
          <w:p>
            <w:pPr>
              <w:jc w:val="left"/>
            </w:pPr>
            <w:r>
              <w:rPr>
                <w:rFonts w:ascii="Calibri" w:hAnsi="Calibri"/>
                <w:color w:val="0A0A0A"/>
                <w:sz w:val="19"/>
              </w:rPr>
              <w:t>✓</w:t>
            </w:r>
          </w:p>
        </w:tc>
      </w:tr>
      <w:tr>
        <w:tc>
          <w:tcPr>
            <w:tcW w:type="dxa" w:w="3600"/>
            <w:vAlign w:val="center"/>
          </w:tcPr>
          <w:p>
            <w:pPr>
              <w:jc w:val="left"/>
            </w:pPr>
            <w:r>
              <w:rPr>
                <w:rFonts w:ascii="Calibri" w:hAnsi="Calibri"/>
                <w:color w:val="0A0A0A"/>
                <w:sz w:val="19"/>
              </w:rPr>
              <w:t>Near-term fielding</w:t>
            </w:r>
          </w:p>
        </w:tc>
        <w:tc>
          <w:tcPr>
            <w:tcW w:type="dxa" w:w="1872"/>
            <w:vAlign w:val="center"/>
          </w:tcPr>
          <w:p>
            <w:pPr>
              <w:jc w:val="left"/>
            </w:pPr>
            <w:r>
              <w:rPr>
                <w:rFonts w:ascii="Calibri" w:hAnsi="Calibri"/>
                <w:color w:val="0A0A0A"/>
                <w:sz w:val="19"/>
              </w:rPr>
              <w:t>✓</w:t>
            </w:r>
          </w:p>
        </w:tc>
        <w:tc>
          <w:tcPr>
            <w:tcW w:type="dxa" w:w="1728"/>
            <w:vAlign w:val="center"/>
          </w:tcPr>
          <w:p>
            <w:pPr>
              <w:jc w:val="left"/>
            </w:pPr>
            <w:r>
              <w:rPr>
                <w:rFonts w:ascii="Calibri" w:hAnsi="Calibri"/>
                <w:color w:val="0A0A0A"/>
                <w:sz w:val="19"/>
              </w:rPr>
              <w:t>✓</w:t>
            </w:r>
          </w:p>
        </w:tc>
        <w:tc>
          <w:tcPr>
            <w:tcW w:type="dxa" w:w="2016"/>
            <w:vAlign w:val="center"/>
          </w:tcPr>
          <w:p>
            <w:pPr>
              <w:jc w:val="left"/>
            </w:pPr>
            <w:r>
              <w:rPr>
                <w:rFonts w:ascii="Calibri" w:hAnsi="Calibri"/>
                <w:color w:val="0A0A0A"/>
                <w:sz w:val="19"/>
              </w:rPr>
              <w:t>✓</w:t>
            </w:r>
          </w:p>
        </w:tc>
        <w:tc>
          <w:tcPr>
            <w:tcW w:type="dxa" w:w="1872"/>
            <w:vAlign w:val="center"/>
          </w:tcPr>
          <w:p>
            <w:pPr>
              <w:jc w:val="left"/>
            </w:pPr>
            <w:r>
              <w:rPr>
                <w:rFonts w:ascii="Calibri" w:hAnsi="Calibri"/>
                <w:color w:val="0A0A0A"/>
                <w:sz w:val="19"/>
              </w:rPr>
              <w:t>✓</w:t>
            </w:r>
          </w:p>
        </w:tc>
        <w:tc>
          <w:tcPr>
            <w:tcW w:type="dxa" w:w="2304"/>
            <w:vAlign w:val="center"/>
          </w:tcPr>
          <w:p>
            <w:pPr>
              <w:jc w:val="left"/>
            </w:pPr>
            <w:r>
              <w:rPr>
                <w:rFonts w:ascii="Calibri" w:hAnsi="Calibri"/>
                <w:color w:val="0A0A0A"/>
                <w:sz w:val="19"/>
              </w:rPr>
              <w:t>✗ (2028+)</w:t>
            </w:r>
          </w:p>
        </w:tc>
      </w:tr>
    </w:tbl>
    <w:p/>
    <w:p>
      <w:r>
        <w:br w:type="page"/>
      </w:r>
    </w:p>
    <w:p>
      <w:pPr>
        <w:spacing w:before="360" w:after="80"/>
        <w:pBdr>
          <w:bottom w:val="single" w:sz="8" w:space="1" w:color="D4810F"/>
        </w:pBdr>
      </w:pPr>
      <w:r>
        <w:rPr>
          <w:rFonts w:ascii="Calibri" w:hAnsi="Calibri"/>
          <w:b/>
          <w:color w:val="D47E0F"/>
          <w:sz w:val="30"/>
        </w:rPr>
        <w:t>6. KEY DOD PROGRAMS AND PROCUREMENT PATH</w:t>
      </w:r>
    </w:p>
    <w:p>
      <w:pPr>
        <w:spacing w:before="240" w:after="60"/>
      </w:pPr>
      <w:r>
        <w:rPr>
          <w:rFonts w:ascii="Calibri" w:hAnsi="Calibri"/>
          <w:b/>
          <w:color w:val="1A1A2E"/>
          <w:sz w:val="24"/>
        </w:rPr>
        <w:t>6.1 Active Programs — Buying Signals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456"/>
            <w:shd w:val="clear" w:color="auto" w:fill="1A2E1A"/>
            <w:vAlign w:val="center"/>
          </w:tcPr>
          <w:p>
            <w:pPr>
              <w:jc w:val="left"/>
            </w:pPr>
            <w:r>
              <w:rPr>
                <w:rFonts w:ascii="Calibri" w:hAnsi="Calibri"/>
                <w:b/>
                <w:color w:val="FFFFFF"/>
                <w:sz w:val="18"/>
              </w:rPr>
              <w:t>PROGRAM</w:t>
            </w:r>
          </w:p>
        </w:tc>
        <w:tc>
          <w:tcPr>
            <w:tcW w:type="dxa" w:w="1872"/>
            <w:shd w:val="clear" w:color="auto" w:fill="1A2E1A"/>
            <w:vAlign w:val="center"/>
          </w:tcPr>
          <w:p>
            <w:pPr>
              <w:jc w:val="left"/>
            </w:pPr>
            <w:r>
              <w:rPr>
                <w:rFonts w:ascii="Calibri" w:hAnsi="Calibri"/>
                <w:b/>
                <w:color w:val="FFFFFF"/>
                <w:sz w:val="18"/>
              </w:rPr>
              <w:t>AGENCY</w:t>
            </w:r>
          </w:p>
        </w:tc>
        <w:tc>
          <w:tcPr>
            <w:tcW w:type="dxa" w:w="2304"/>
            <w:shd w:val="clear" w:color="auto" w:fill="1A2E1A"/>
            <w:vAlign w:val="center"/>
          </w:tcPr>
          <w:p>
            <w:pPr>
              <w:jc w:val="left"/>
            </w:pPr>
            <w:r>
              <w:rPr>
                <w:rFonts w:ascii="Calibri" w:hAnsi="Calibri"/>
                <w:b/>
                <w:color w:val="FFFFFF"/>
                <w:sz w:val="18"/>
              </w:rPr>
              <w:t>SIZE/STATUS</w:t>
            </w:r>
          </w:p>
        </w:tc>
        <w:tc>
          <w:tcPr>
            <w:tcW w:type="dxa" w:w="3600"/>
            <w:shd w:val="clear" w:color="auto" w:fill="1A2E1A"/>
            <w:vAlign w:val="center"/>
          </w:tcPr>
          <w:p>
            <w:pPr>
              <w:jc w:val="left"/>
            </w:pPr>
            <w:r>
              <w:rPr>
                <w:rFonts w:ascii="Calibri" w:hAnsi="Calibri"/>
                <w:b/>
                <w:color w:val="FFFFFF"/>
                <w:sz w:val="18"/>
              </w:rPr>
              <w:t>RELEVANCE</w:t>
            </w:r>
          </w:p>
        </w:tc>
      </w:tr>
      <w:tr>
        <w:tc>
          <w:tcPr>
            <w:tcW w:type="dxa" w:w="3456"/>
            <w:vAlign w:val="center"/>
          </w:tcPr>
          <w:p>
            <w:pPr>
              <w:jc w:val="left"/>
            </w:pPr>
            <w:r>
              <w:rPr>
                <w:rFonts w:ascii="Calibri" w:hAnsi="Calibri"/>
                <w:color w:val="0A0A0A"/>
                <w:sz w:val="19"/>
              </w:rPr>
              <w:t>Army SBIR Power Solutions</w:t>
            </w:r>
          </w:p>
        </w:tc>
        <w:tc>
          <w:tcPr>
            <w:tcW w:type="dxa" w:w="1872"/>
            <w:vAlign w:val="center"/>
          </w:tcPr>
          <w:p>
            <w:pPr>
              <w:jc w:val="left"/>
            </w:pPr>
            <w:r>
              <w:rPr>
                <w:rFonts w:ascii="Calibri" w:hAnsi="Calibri"/>
                <w:color w:val="0A0A0A"/>
                <w:sz w:val="19"/>
              </w:rPr>
              <w:t>US Army</w:t>
            </w:r>
          </w:p>
        </w:tc>
        <w:tc>
          <w:tcPr>
            <w:tcW w:type="dxa" w:w="2304"/>
            <w:vAlign w:val="center"/>
          </w:tcPr>
          <w:p>
            <w:pPr>
              <w:jc w:val="left"/>
            </w:pPr>
            <w:r>
              <w:rPr>
                <w:rFonts w:ascii="Calibri" w:hAnsi="Calibri"/>
                <w:color w:val="0A0A0A"/>
                <w:sz w:val="19"/>
              </w:rPr>
              <w:t>$250K Phase I — open RFP</w:t>
            </w:r>
          </w:p>
        </w:tc>
        <w:tc>
          <w:tcPr>
            <w:tcW w:type="dxa" w:w="3600"/>
            <w:vAlign w:val="center"/>
          </w:tcPr>
          <w:p>
            <w:pPr>
              <w:jc w:val="left"/>
            </w:pPr>
            <w:r>
              <w:rPr>
                <w:rFonts w:ascii="Calibri" w:hAnsi="Calibri"/>
                <w:color w:val="0A0A0A"/>
                <w:sz w:val="19"/>
              </w:rPr>
              <w:t>Direct entry point for military power innovation</w:t>
            </w:r>
          </w:p>
        </w:tc>
      </w:tr>
      <w:tr>
        <w:tc>
          <w:tcPr>
            <w:tcW w:type="dxa" w:w="3456"/>
            <w:shd w:val="clear" w:color="auto" w:fill="F0F4F0"/>
            <w:vAlign w:val="center"/>
          </w:tcPr>
          <w:p>
            <w:pPr>
              <w:jc w:val="left"/>
            </w:pPr>
            <w:r>
              <w:rPr>
                <w:rFonts w:ascii="Calibri" w:hAnsi="Calibri"/>
                <w:color w:val="0A0A0A"/>
                <w:sz w:val="19"/>
              </w:rPr>
              <w:t>SOCOM SBIR</w:t>
            </w:r>
          </w:p>
        </w:tc>
        <w:tc>
          <w:tcPr>
            <w:tcW w:type="dxa" w:w="1872"/>
            <w:shd w:val="clear" w:color="auto" w:fill="F0F4F0"/>
            <w:vAlign w:val="center"/>
          </w:tcPr>
          <w:p>
            <w:pPr>
              <w:jc w:val="left"/>
            </w:pPr>
            <w:r>
              <w:rPr>
                <w:rFonts w:ascii="Calibri" w:hAnsi="Calibri"/>
                <w:color w:val="0A0A0A"/>
                <w:sz w:val="19"/>
              </w:rPr>
              <w:t>USSOCOM</w:t>
            </w:r>
          </w:p>
        </w:tc>
        <w:tc>
          <w:tcPr>
            <w:tcW w:type="dxa" w:w="2304"/>
            <w:shd w:val="clear" w:color="auto" w:fill="F0F4F0"/>
            <w:vAlign w:val="center"/>
          </w:tcPr>
          <w:p>
            <w:pPr>
              <w:jc w:val="left"/>
            </w:pPr>
            <w:r>
              <w:rPr>
                <w:rFonts w:ascii="Calibri" w:hAnsi="Calibri"/>
                <w:color w:val="0A0A0A"/>
                <w:sz w:val="19"/>
              </w:rPr>
              <w:t>$150K Ph. I / $1M Ph. II</w:t>
            </w:r>
          </w:p>
        </w:tc>
        <w:tc>
          <w:tcPr>
            <w:tcW w:type="dxa" w:w="3600"/>
            <w:shd w:val="clear" w:color="auto" w:fill="F0F4F0"/>
            <w:vAlign w:val="center"/>
          </w:tcPr>
          <w:p>
            <w:pPr>
              <w:jc w:val="left"/>
            </w:pPr>
            <w:r>
              <w:rPr>
                <w:rFonts w:ascii="Calibri" w:hAnsi="Calibri"/>
                <w:color w:val="0A0A0A"/>
                <w:sz w:val="19"/>
              </w:rPr>
              <w:t>SOF power and autonomy; own acquisition authority</w:t>
            </w:r>
          </w:p>
        </w:tc>
      </w:tr>
      <w:tr>
        <w:tc>
          <w:tcPr>
            <w:tcW w:type="dxa" w:w="3456"/>
            <w:vAlign w:val="center"/>
          </w:tcPr>
          <w:p>
            <w:pPr>
              <w:jc w:val="left"/>
            </w:pPr>
            <w:r>
              <w:rPr>
                <w:rFonts w:ascii="Calibri" w:hAnsi="Calibri"/>
                <w:color w:val="0A0A0A"/>
                <w:sz w:val="19"/>
              </w:rPr>
              <w:t>DARPA POWER</w:t>
            </w:r>
          </w:p>
        </w:tc>
        <w:tc>
          <w:tcPr>
            <w:tcW w:type="dxa" w:w="1872"/>
            <w:vAlign w:val="center"/>
          </w:tcPr>
          <w:p>
            <w:pPr>
              <w:jc w:val="left"/>
            </w:pPr>
            <w:r>
              <w:rPr>
                <w:rFonts w:ascii="Calibri" w:hAnsi="Calibri"/>
                <w:color w:val="0A0A0A"/>
                <w:sz w:val="19"/>
              </w:rPr>
              <w:t>DARPA</w:t>
            </w:r>
          </w:p>
        </w:tc>
        <w:tc>
          <w:tcPr>
            <w:tcW w:type="dxa" w:w="2304"/>
            <w:vAlign w:val="center"/>
          </w:tcPr>
          <w:p>
            <w:pPr>
              <w:jc w:val="left"/>
            </w:pPr>
            <w:r>
              <w:rPr>
                <w:rFonts w:ascii="Calibri" w:hAnsi="Calibri"/>
                <w:color w:val="0A0A0A"/>
                <w:sz w:val="19"/>
              </w:rPr>
              <w:t>$10M+ funded</w:t>
            </w:r>
          </w:p>
        </w:tc>
        <w:tc>
          <w:tcPr>
            <w:tcW w:type="dxa" w:w="3600"/>
            <w:vAlign w:val="center"/>
          </w:tcPr>
          <w:p>
            <w:pPr>
              <w:jc w:val="left"/>
            </w:pPr>
            <w:r>
              <w:rPr>
                <w:rFonts w:ascii="Calibri" w:hAnsi="Calibri"/>
                <w:color w:val="0A0A0A"/>
                <w:sz w:val="19"/>
              </w:rPr>
              <w:t>Signals DoD appetite for novel energy delivery</w:t>
            </w:r>
          </w:p>
        </w:tc>
      </w:tr>
      <w:tr>
        <w:tc>
          <w:tcPr>
            <w:tcW w:type="dxa" w:w="3456"/>
            <w:shd w:val="clear" w:color="auto" w:fill="F0F4F0"/>
            <w:vAlign w:val="center"/>
          </w:tcPr>
          <w:p>
            <w:pPr>
              <w:jc w:val="left"/>
            </w:pPr>
            <w:r>
              <w:rPr>
                <w:rFonts w:ascii="Calibri" w:hAnsi="Calibri"/>
                <w:color w:val="0A0A0A"/>
                <w:sz w:val="19"/>
              </w:rPr>
              <w:t>DARPA ExPEDitions</w:t>
            </w:r>
          </w:p>
        </w:tc>
        <w:tc>
          <w:tcPr>
            <w:tcW w:type="dxa" w:w="1872"/>
            <w:shd w:val="clear" w:color="auto" w:fill="F0F4F0"/>
            <w:vAlign w:val="center"/>
          </w:tcPr>
          <w:p>
            <w:pPr>
              <w:jc w:val="left"/>
            </w:pPr>
            <w:r>
              <w:rPr>
                <w:rFonts w:ascii="Calibri" w:hAnsi="Calibri"/>
                <w:color w:val="0A0A0A"/>
                <w:sz w:val="19"/>
              </w:rPr>
              <w:t>DARPA</w:t>
            </w:r>
          </w:p>
        </w:tc>
        <w:tc>
          <w:tcPr>
            <w:tcW w:type="dxa" w:w="2304"/>
            <w:shd w:val="clear" w:color="auto" w:fill="F0F4F0"/>
            <w:vAlign w:val="center"/>
          </w:tcPr>
          <w:p>
            <w:pPr>
              <w:jc w:val="left"/>
            </w:pPr>
            <w:r>
              <w:rPr>
                <w:rFonts w:ascii="Calibri" w:hAnsi="Calibri"/>
                <w:color w:val="0A0A0A"/>
                <w:sz w:val="19"/>
              </w:rPr>
              <w:t>Active (starts Jan 2027)</w:t>
            </w:r>
          </w:p>
        </w:tc>
        <w:tc>
          <w:tcPr>
            <w:tcW w:type="dxa" w:w="3600"/>
            <w:shd w:val="clear" w:color="auto" w:fill="F0F4F0"/>
            <w:vAlign w:val="center"/>
          </w:tcPr>
          <w:p>
            <w:pPr>
              <w:jc w:val="left"/>
            </w:pPr>
            <w:r>
              <w:rPr>
                <w:rFonts w:ascii="Calibri" w:hAnsi="Calibri"/>
                <w:color w:val="0A0A0A"/>
                <w:sz w:val="19"/>
              </w:rPr>
              <w:t>5–10× battery density — shows DoD wants endurance</w:t>
            </w:r>
          </w:p>
        </w:tc>
      </w:tr>
      <w:tr>
        <w:tc>
          <w:tcPr>
            <w:tcW w:type="dxa" w:w="3456"/>
            <w:vAlign w:val="center"/>
          </w:tcPr>
          <w:p>
            <w:pPr>
              <w:jc w:val="left"/>
            </w:pPr>
            <w:r>
              <w:rPr>
                <w:rFonts w:ascii="Calibri" w:hAnsi="Calibri"/>
                <w:color w:val="0A0A0A"/>
                <w:sz w:val="19"/>
              </w:rPr>
              <w:t>Army Operational Energy Strategy</w:t>
            </w:r>
          </w:p>
        </w:tc>
        <w:tc>
          <w:tcPr>
            <w:tcW w:type="dxa" w:w="1872"/>
            <w:vAlign w:val="center"/>
          </w:tcPr>
          <w:p>
            <w:pPr>
              <w:jc w:val="left"/>
            </w:pPr>
            <w:r>
              <w:rPr>
                <w:rFonts w:ascii="Calibri" w:hAnsi="Calibri"/>
                <w:color w:val="0A0A0A"/>
                <w:sz w:val="19"/>
              </w:rPr>
              <w:t>US Army</w:t>
            </w:r>
          </w:p>
        </w:tc>
        <w:tc>
          <w:tcPr>
            <w:tcW w:type="dxa" w:w="2304"/>
            <w:vAlign w:val="center"/>
          </w:tcPr>
          <w:p>
            <w:pPr>
              <w:jc w:val="left"/>
            </w:pPr>
            <w:r>
              <w:rPr>
                <w:rFonts w:ascii="Calibri" w:hAnsi="Calibri"/>
                <w:color w:val="0A0A0A"/>
                <w:sz w:val="19"/>
              </w:rPr>
              <w:t>Formal mandate</w:t>
            </w:r>
          </w:p>
        </w:tc>
        <w:tc>
          <w:tcPr>
            <w:tcW w:type="dxa" w:w="3600"/>
            <w:vAlign w:val="center"/>
          </w:tcPr>
          <w:p>
            <w:pPr>
              <w:jc w:val="left"/>
            </w:pPr>
            <w:r>
              <w:rPr>
                <w:rFonts w:ascii="Calibri" w:hAnsi="Calibri"/>
                <w:color w:val="0A0A0A"/>
                <w:sz w:val="19"/>
              </w:rPr>
              <w:t>Top-level DoD mandate creating procurement budget</w:t>
            </w:r>
          </w:p>
        </w:tc>
      </w:tr>
      <w:tr>
        <w:tc>
          <w:tcPr>
            <w:tcW w:type="dxa" w:w="3456"/>
            <w:shd w:val="clear" w:color="auto" w:fill="F0F4F0"/>
            <w:vAlign w:val="center"/>
          </w:tcPr>
          <w:p>
            <w:pPr>
              <w:jc w:val="left"/>
            </w:pPr>
            <w:r>
              <w:rPr>
                <w:rFonts w:ascii="Calibri" w:hAnsi="Calibri"/>
                <w:color w:val="0A0A0A"/>
                <w:sz w:val="19"/>
              </w:rPr>
              <w:t>DIU Finance First (Aug 2025)</w:t>
            </w:r>
          </w:p>
        </w:tc>
        <w:tc>
          <w:tcPr>
            <w:tcW w:type="dxa" w:w="1872"/>
            <w:shd w:val="clear" w:color="auto" w:fill="F0F4F0"/>
            <w:vAlign w:val="center"/>
          </w:tcPr>
          <w:p>
            <w:pPr>
              <w:jc w:val="left"/>
            </w:pPr>
            <w:r>
              <w:rPr>
                <w:rFonts w:ascii="Calibri" w:hAnsi="Calibri"/>
                <w:color w:val="0A0A0A"/>
                <w:sz w:val="19"/>
              </w:rPr>
              <w:t>DAF + DIU</w:t>
            </w:r>
          </w:p>
        </w:tc>
        <w:tc>
          <w:tcPr>
            <w:tcW w:type="dxa" w:w="2304"/>
            <w:shd w:val="clear" w:color="auto" w:fill="F0F4F0"/>
            <w:vAlign w:val="center"/>
          </w:tcPr>
          <w:p>
            <w:pPr>
              <w:jc w:val="left"/>
            </w:pPr>
            <w:r>
              <w:rPr>
                <w:rFonts w:ascii="Calibri" w:hAnsi="Calibri"/>
                <w:color w:val="0A0A0A"/>
                <w:sz w:val="19"/>
              </w:rPr>
              <w:t>Active</w:t>
            </w:r>
          </w:p>
        </w:tc>
        <w:tc>
          <w:tcPr>
            <w:tcW w:type="dxa" w:w="3600"/>
            <w:shd w:val="clear" w:color="auto" w:fill="F0F4F0"/>
            <w:vAlign w:val="center"/>
          </w:tcPr>
          <w:p>
            <w:pPr>
              <w:jc w:val="left"/>
            </w:pPr>
            <w:r>
              <w:rPr>
                <w:rFonts w:ascii="Calibri" w:hAnsi="Calibri"/>
                <w:color w:val="0A0A0A"/>
                <w:sz w:val="19"/>
              </w:rPr>
              <w:t>Energy resiliency initiative for installations</w:t>
            </w:r>
          </w:p>
        </w:tc>
      </w:tr>
      <w:tr>
        <w:tc>
          <w:tcPr>
            <w:tcW w:type="dxa" w:w="3456"/>
            <w:vAlign w:val="center"/>
          </w:tcPr>
          <w:p>
            <w:pPr>
              <w:jc w:val="left"/>
            </w:pPr>
            <w:r>
              <w:rPr>
                <w:rFonts w:ascii="Calibri" w:hAnsi="Calibri"/>
                <w:color w:val="0A0A0A"/>
                <w:sz w:val="19"/>
              </w:rPr>
              <w:t>Tethered Drones → Army Program</w:t>
            </w:r>
          </w:p>
        </w:tc>
        <w:tc>
          <w:tcPr>
            <w:tcW w:type="dxa" w:w="1872"/>
            <w:vAlign w:val="center"/>
          </w:tcPr>
          <w:p>
            <w:pPr>
              <w:jc w:val="left"/>
            </w:pPr>
            <w:r>
              <w:rPr>
                <w:rFonts w:ascii="Calibri" w:hAnsi="Calibri"/>
                <w:color w:val="0A0A0A"/>
                <w:sz w:val="19"/>
              </w:rPr>
              <w:t>US Army</w:t>
            </w:r>
          </w:p>
        </w:tc>
        <w:tc>
          <w:tcPr>
            <w:tcW w:type="dxa" w:w="2304"/>
            <w:vAlign w:val="center"/>
          </w:tcPr>
          <w:p>
            <w:pPr>
              <w:jc w:val="left"/>
            </w:pPr>
            <w:r>
              <w:rPr>
                <w:rFonts w:ascii="Calibri" w:hAnsi="Calibri"/>
                <w:color w:val="0A0A0A"/>
                <w:sz w:val="19"/>
              </w:rPr>
              <w:t>Formalizing 2025</w:t>
            </w:r>
          </w:p>
        </w:tc>
        <w:tc>
          <w:tcPr>
            <w:tcW w:type="dxa" w:w="3600"/>
            <w:vAlign w:val="center"/>
          </w:tcPr>
          <w:p>
            <w:pPr>
              <w:jc w:val="left"/>
            </w:pPr>
            <w:r>
              <w:rPr>
                <w:rFonts w:ascii="Calibri" w:hAnsi="Calibri"/>
                <w:color w:val="0A0A0A"/>
                <w:sz w:val="19"/>
              </w:rPr>
              <w:t>Tethered drones becoming program-of-record — direct path</w:t>
            </w:r>
          </w:p>
        </w:tc>
      </w:tr>
      <w:tr>
        <w:tc>
          <w:tcPr>
            <w:tcW w:type="dxa" w:w="3456"/>
            <w:shd w:val="clear" w:color="auto" w:fill="F0F4F0"/>
            <w:vAlign w:val="center"/>
          </w:tcPr>
          <w:p>
            <w:pPr>
              <w:jc w:val="left"/>
            </w:pPr>
            <w:r>
              <w:rPr>
                <w:rFonts w:ascii="Calibri" w:hAnsi="Calibri"/>
                <w:color w:val="0A0A0A"/>
                <w:sz w:val="19"/>
              </w:rPr>
              <w:t>DoD/GAO Convoy Reports</w:t>
            </w:r>
          </w:p>
        </w:tc>
        <w:tc>
          <w:tcPr>
            <w:tcW w:type="dxa" w:w="1872"/>
            <w:shd w:val="clear" w:color="auto" w:fill="F0F4F0"/>
            <w:vAlign w:val="center"/>
          </w:tcPr>
          <w:p>
            <w:pPr>
              <w:jc w:val="left"/>
            </w:pPr>
            <w:r>
              <w:rPr>
                <w:rFonts w:ascii="Calibri" w:hAnsi="Calibri"/>
                <w:color w:val="0A0A0A"/>
                <w:sz w:val="19"/>
              </w:rPr>
              <w:t>Congress</w:t>
            </w:r>
          </w:p>
        </w:tc>
        <w:tc>
          <w:tcPr>
            <w:tcW w:type="dxa" w:w="2304"/>
            <w:shd w:val="clear" w:color="auto" w:fill="F0F4F0"/>
            <w:vAlign w:val="center"/>
          </w:tcPr>
          <w:p>
            <w:pPr>
              <w:jc w:val="left"/>
            </w:pPr>
            <w:r>
              <w:rPr>
                <w:rFonts w:ascii="Calibri" w:hAnsi="Calibri"/>
                <w:color w:val="0A0A0A"/>
                <w:sz w:val="19"/>
              </w:rPr>
              <w:t>Ongoing</w:t>
            </w:r>
          </w:p>
        </w:tc>
        <w:tc>
          <w:tcPr>
            <w:tcW w:type="dxa" w:w="3600"/>
            <w:shd w:val="clear" w:color="auto" w:fill="F0F4F0"/>
            <w:vAlign w:val="center"/>
          </w:tcPr>
          <w:p>
            <w:pPr>
              <w:jc w:val="left"/>
            </w:pPr>
            <w:r>
              <w:rPr>
                <w:rFonts w:ascii="Calibri" w:hAnsi="Calibri"/>
                <w:color w:val="0A0A0A"/>
                <w:sz w:val="19"/>
              </w:rPr>
              <w:t>Political cover for procurement; fuel vulnerability cited</w:t>
            </w:r>
          </w:p>
        </w:tc>
      </w:tr>
      <w:tr>
        <w:tc>
          <w:tcPr>
            <w:tcW w:type="dxa" w:w="3456"/>
            <w:vAlign w:val="center"/>
          </w:tcPr>
          <w:p>
            <w:pPr>
              <w:jc w:val="left"/>
            </w:pPr>
            <w:r>
              <w:rPr>
                <w:rFonts w:ascii="Calibri" w:hAnsi="Calibri"/>
                <w:color w:val="0A0A0A"/>
                <w:sz w:val="19"/>
              </w:rPr>
              <w:t>SOCOM Grand Challenge #3 (TALOS)</w:t>
            </w:r>
          </w:p>
        </w:tc>
        <w:tc>
          <w:tcPr>
            <w:tcW w:type="dxa" w:w="1872"/>
            <w:vAlign w:val="center"/>
          </w:tcPr>
          <w:p>
            <w:pPr>
              <w:jc w:val="left"/>
            </w:pPr>
            <w:r>
              <w:rPr>
                <w:rFonts w:ascii="Calibri" w:hAnsi="Calibri"/>
                <w:color w:val="0A0A0A"/>
                <w:sz w:val="19"/>
              </w:rPr>
              <w:t>USSOCOM</w:t>
            </w:r>
          </w:p>
        </w:tc>
        <w:tc>
          <w:tcPr>
            <w:tcW w:type="dxa" w:w="2304"/>
            <w:vAlign w:val="center"/>
          </w:tcPr>
          <w:p>
            <w:pPr>
              <w:jc w:val="left"/>
            </w:pPr>
            <w:r>
              <w:rPr>
                <w:rFonts w:ascii="Calibri" w:hAnsi="Calibri"/>
                <w:color w:val="0A0A0A"/>
                <w:sz w:val="19"/>
              </w:rPr>
              <w:t>Historical precedent</w:t>
            </w:r>
          </w:p>
        </w:tc>
        <w:tc>
          <w:tcPr>
            <w:tcW w:type="dxa" w:w="3600"/>
            <w:vAlign w:val="center"/>
          </w:tcPr>
          <w:p>
            <w:pPr>
              <w:jc w:val="left"/>
            </w:pPr>
            <w:r>
              <w:rPr>
                <w:rFonts w:ascii="Calibri" w:hAnsi="Calibri"/>
                <w:color w:val="0A0A0A"/>
                <w:sz w:val="19"/>
              </w:rPr>
              <w:t>SOCOM actively funded power innovation for operators</w:t>
            </w:r>
          </w:p>
        </w:tc>
      </w:tr>
    </w:tbl>
    <w:p/>
    <w:p>
      <w:pPr>
        <w:spacing w:before="240" w:after="60"/>
      </w:pPr>
      <w:r>
        <w:rPr>
          <w:rFonts w:ascii="Calibri" w:hAnsi="Calibri"/>
          <w:b/>
          <w:color w:val="1A1A2E"/>
          <w:sz w:val="24"/>
        </w:rPr>
        <w:t>6.2 Recommended Entry Sequence</w:t>
      </w:r>
    </w:p>
    <w:p>
      <w:pPr>
        <w:spacing w:before="160" w:after="40"/>
      </w:pPr>
      <w:r>
        <w:rPr>
          <w:rFonts w:ascii="Calibri" w:hAnsi="Calibri"/>
          <w:b/>
          <w:color w:val="1A4A7A"/>
          <w:sz w:val="22"/>
        </w:rPr>
        <w:t>Step 1 — Secure IP (Before Everything)</w:t>
      </w:r>
    </w:p>
    <w:p>
      <w:pPr>
        <w:spacing w:after="120"/>
      </w:pPr>
      <w:r>
        <w:rPr>
          <w:rFonts w:ascii="Calibri" w:hAnsi="Calibri"/>
          <w:color w:val="0A0A0A"/>
          <w:sz w:val="21"/>
        </w:rPr>
        <w:t>File patents on: (1) autonomous perching/attachment mechanism on power lines, (2) energy harvesting method from overhead lines, (3) tether-based power delivery to ground station, (4) autonomous identification and navigation to power line targets. This must happen before any partner or government conversation.</w:t>
      </w:r>
    </w:p>
    <w:p>
      <w:pPr>
        <w:spacing w:before="160" w:after="40"/>
      </w:pPr>
      <w:r>
        <w:rPr>
          <w:rFonts w:ascii="Calibri" w:hAnsi="Calibri"/>
          <w:b/>
          <w:color w:val="1A4A7A"/>
          <w:sz w:val="22"/>
        </w:rPr>
        <w:t>Step 2 — Dual Track: B2B2G + Government (Simultaneous)</w:t>
      </w:r>
    </w:p>
    <w:p>
      <w:pPr>
        <w:pStyle w:val="ListBullet"/>
        <w:spacing w:after="60"/>
        <w:ind w:left="432"/>
      </w:pPr>
      <w:r>
        <w:rPr>
          <w:rFonts w:ascii="Calibri" w:hAnsi="Calibri"/>
          <w:b/>
          <w:color w:val="D47E0F"/>
          <w:sz w:val="21"/>
        </w:rPr>
        <w:t>B2B2G: Contact Chariot Defense</w:t>
      </w:r>
    </w:p>
    <w:p>
      <w:pPr>
        <w:spacing w:after="40"/>
      </w:pPr>
      <w:r>
        <w:rPr>
          <w:rFonts w:ascii="Calibri" w:hAnsi="Calibri"/>
          <w:color w:val="0A0A0A"/>
          <w:sz w:val="21"/>
        </w:rPr>
        <w:t xml:space="preserve">    Chariot needs a power source for Amphora. Under NDA, demonstrate the concept. Pursue a commercial partnership or integration agreement. Fastest path to revenue (3–9 months).</w:t>
      </w:r>
    </w:p>
    <w:p>
      <w:pPr>
        <w:pStyle w:val="ListBullet"/>
        <w:spacing w:after="60"/>
        <w:ind w:left="432"/>
      </w:pPr>
      <w:r>
        <w:rPr>
          <w:rFonts w:ascii="Calibri" w:hAnsi="Calibri"/>
          <w:b/>
          <w:color w:val="D47E0F"/>
          <w:sz w:val="21"/>
        </w:rPr>
        <w:t>SBIR Track: Submit Army SBIR Phase I ($250K)</w:t>
      </w:r>
    </w:p>
    <w:p>
      <w:pPr>
        <w:spacing w:after="40"/>
      </w:pPr>
      <w:r>
        <w:rPr>
          <w:rFonts w:ascii="Calibri" w:hAnsi="Calibri"/>
          <w:color w:val="0A0A0A"/>
          <w:sz w:val="21"/>
        </w:rPr>
        <w:t xml:space="preserve">    Army has an open RFP specifically for military power solutions. 6-month performance period. Validates technology with DoD funding.</w:t>
      </w:r>
    </w:p>
    <w:p>
      <w:pPr>
        <w:pStyle w:val="ListBullet"/>
        <w:spacing w:after="60"/>
        <w:ind w:left="432"/>
      </w:pPr>
      <w:r>
        <w:rPr>
          <w:rFonts w:ascii="Calibri" w:hAnsi="Calibri"/>
          <w:b/>
          <w:color w:val="D47E0F"/>
          <w:sz w:val="21"/>
        </w:rPr>
        <w:t>SBIR Track: Submit SOCOM SBIR Phase I ($150K)</w:t>
      </w:r>
    </w:p>
    <w:p>
      <w:pPr>
        <w:spacing w:after="40"/>
      </w:pPr>
      <w:r>
        <w:rPr>
          <w:rFonts w:ascii="Calibri" w:hAnsi="Calibri"/>
          <w:color w:val="0A0A0A"/>
          <w:sz w:val="21"/>
        </w:rPr>
        <w:t xml:space="preserve">    Run in parallel with Army SBIR. SOCOM moves faster and has more autonomy. Direct engagement via SOFWERX.</w:t>
      </w:r>
    </w:p>
    <w:p>
      <w:pPr>
        <w:spacing w:before="160" w:after="40"/>
      </w:pPr>
      <w:r>
        <w:rPr>
          <w:rFonts w:ascii="Calibri" w:hAnsi="Calibri"/>
          <w:b/>
          <w:color w:val="1A4A7A"/>
          <w:sz w:val="22"/>
        </w:rPr>
        <w:t>Step 3 — OTA Prototype Agreement</w:t>
      </w:r>
    </w:p>
    <w:p>
      <w:pPr>
        <w:spacing w:after="120"/>
      </w:pPr>
      <w:r>
        <w:rPr>
          <w:rFonts w:ascii="Calibri" w:hAnsi="Calibri"/>
          <w:color w:val="0A0A0A"/>
          <w:sz w:val="21"/>
        </w:rPr>
        <w:t>After SBIR Phase II ($1M–$1.7M), convert to an Other Transaction Authority (OTA) prototype agreement. OTAs do not require competitive bidding and allow rapid transition from prototype to production. Timeline: 18–30 months from SBIR Phase I submission.</w:t>
      </w:r>
    </w:p>
    <w:p>
      <w:pPr>
        <w:spacing w:before="160" w:after="40"/>
      </w:pPr>
      <w:r>
        <w:rPr>
          <w:rFonts w:ascii="Calibri" w:hAnsi="Calibri"/>
          <w:b/>
          <w:color w:val="1A4A7A"/>
          <w:sz w:val="22"/>
        </w:rPr>
        <w:t>Step 4 — Program of Record</w:t>
      </w:r>
    </w:p>
    <w:p>
      <w:pPr>
        <w:spacing w:after="120"/>
      </w:pPr>
      <w:r>
        <w:rPr>
          <w:rFonts w:ascii="Calibri" w:hAnsi="Calibri"/>
          <w:color w:val="0A0A0A"/>
          <w:sz w:val="21"/>
        </w:rPr>
        <w:t>The long-term goal is to become a budget line item in Army or SOCOM procurement — a 'program of record' that gets funded annually through the President's Budget Request. This is the highest-value outcome: predictable, recurring government revenue. Timeline: 3–5 years.</w:t>
      </w:r>
    </w:p>
    <w:p>
      <w:pPr>
        <w:spacing w:before="160" w:after="40"/>
      </w:pPr>
      <w:r>
        <w:rPr>
          <w:rFonts w:ascii="Calibri" w:hAnsi="Calibri"/>
          <w:b/>
          <w:color w:val="1A4A7A"/>
          <w:sz w:val="22"/>
        </w:rPr>
        <w:t>Key Offices and People to Engage</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val="clear" w:color="auto" w:fill="1A2E1A"/>
            <w:vAlign w:val="center"/>
          </w:tcPr>
          <w:p>
            <w:pPr>
              <w:jc w:val="left"/>
            </w:pPr>
            <w:r>
              <w:rPr>
                <w:rFonts w:ascii="Calibri" w:hAnsi="Calibri"/>
                <w:b/>
                <w:color w:val="FFFFFF"/>
                <w:sz w:val="18"/>
              </w:rPr>
              <w:t>ORGANIZATION</w:t>
            </w:r>
          </w:p>
        </w:tc>
        <w:tc>
          <w:tcPr>
            <w:tcW w:type="dxa" w:w="3600"/>
            <w:shd w:val="clear" w:color="auto" w:fill="1A2E1A"/>
            <w:vAlign w:val="center"/>
          </w:tcPr>
          <w:p>
            <w:pPr>
              <w:jc w:val="left"/>
            </w:pPr>
            <w:r>
              <w:rPr>
                <w:rFonts w:ascii="Calibri" w:hAnsi="Calibri"/>
                <w:b/>
                <w:color w:val="FFFFFF"/>
                <w:sz w:val="18"/>
              </w:rPr>
              <w:t>OFFICE / PROGRAM</w:t>
            </w:r>
          </w:p>
        </w:tc>
        <w:tc>
          <w:tcPr>
            <w:tcW w:type="dxa" w:w="5472"/>
            <w:shd w:val="clear" w:color="auto" w:fill="1A2E1A"/>
            <w:vAlign w:val="center"/>
          </w:tcPr>
          <w:p>
            <w:pPr>
              <w:jc w:val="left"/>
            </w:pPr>
            <w:r>
              <w:rPr>
                <w:rFonts w:ascii="Calibri" w:hAnsi="Calibri"/>
                <w:b/>
                <w:color w:val="FFFFFF"/>
                <w:sz w:val="18"/>
              </w:rPr>
              <w:t>ROLE</w:t>
            </w:r>
          </w:p>
        </w:tc>
      </w:tr>
      <w:tr>
        <w:tc>
          <w:tcPr>
            <w:tcW w:type="dxa" w:w="2160"/>
            <w:vAlign w:val="center"/>
          </w:tcPr>
          <w:p>
            <w:pPr>
              <w:jc w:val="left"/>
            </w:pPr>
            <w:r>
              <w:rPr>
                <w:rFonts w:ascii="Calibri" w:hAnsi="Calibri"/>
                <w:color w:val="0A0A0A"/>
                <w:sz w:val="19"/>
              </w:rPr>
              <w:t>US Army</w:t>
            </w:r>
          </w:p>
        </w:tc>
        <w:tc>
          <w:tcPr>
            <w:tcW w:type="dxa" w:w="3600"/>
            <w:vAlign w:val="center"/>
          </w:tcPr>
          <w:p>
            <w:pPr>
              <w:jc w:val="left"/>
            </w:pPr>
            <w:r>
              <w:rPr>
                <w:rFonts w:ascii="Calibri" w:hAnsi="Calibri"/>
                <w:color w:val="0A0A0A"/>
                <w:sz w:val="19"/>
              </w:rPr>
              <w:t>PEO CS&amp;CSS</w:t>
            </w:r>
          </w:p>
        </w:tc>
        <w:tc>
          <w:tcPr>
            <w:tcW w:type="dxa" w:w="5472"/>
            <w:vAlign w:val="center"/>
          </w:tcPr>
          <w:p>
            <w:pPr>
              <w:jc w:val="left"/>
            </w:pPr>
            <w:r>
              <w:rPr>
                <w:rFonts w:ascii="Calibri" w:hAnsi="Calibri"/>
                <w:color w:val="0A0A0A"/>
                <w:sz w:val="19"/>
              </w:rPr>
              <w:t>Program Executive Office — buys power generation equipment</w:t>
            </w:r>
          </w:p>
        </w:tc>
      </w:tr>
      <w:tr>
        <w:tc>
          <w:tcPr>
            <w:tcW w:type="dxa" w:w="2160"/>
            <w:shd w:val="clear" w:color="auto" w:fill="F0F4F0"/>
            <w:vAlign w:val="center"/>
          </w:tcPr>
          <w:p>
            <w:pPr>
              <w:jc w:val="left"/>
            </w:pPr>
            <w:r>
              <w:rPr>
                <w:rFonts w:ascii="Calibri" w:hAnsi="Calibri"/>
                <w:color w:val="0A0A0A"/>
                <w:sz w:val="19"/>
              </w:rPr>
              <w:t>US Army</w:t>
            </w:r>
          </w:p>
        </w:tc>
        <w:tc>
          <w:tcPr>
            <w:tcW w:type="dxa" w:w="3600"/>
            <w:shd w:val="clear" w:color="auto" w:fill="F0F4F0"/>
            <w:vAlign w:val="center"/>
          </w:tcPr>
          <w:p>
            <w:pPr>
              <w:jc w:val="left"/>
            </w:pPr>
            <w:r>
              <w:rPr>
                <w:rFonts w:ascii="Calibri" w:hAnsi="Calibri"/>
                <w:color w:val="0A0A0A"/>
                <w:sz w:val="19"/>
              </w:rPr>
              <w:t>Army Futures Command (AFC)</w:t>
            </w:r>
          </w:p>
        </w:tc>
        <w:tc>
          <w:tcPr>
            <w:tcW w:type="dxa" w:w="5472"/>
            <w:shd w:val="clear" w:color="auto" w:fill="F0F4F0"/>
            <w:vAlign w:val="center"/>
          </w:tcPr>
          <w:p>
            <w:pPr>
              <w:jc w:val="left"/>
            </w:pPr>
            <w:r>
              <w:rPr>
                <w:rFonts w:ascii="Calibri" w:hAnsi="Calibri"/>
                <w:color w:val="0A0A0A"/>
                <w:sz w:val="19"/>
              </w:rPr>
              <w:t>Innovation arm — accelerates novel technology to pilots</w:t>
            </w:r>
          </w:p>
        </w:tc>
      </w:tr>
      <w:tr>
        <w:tc>
          <w:tcPr>
            <w:tcW w:type="dxa" w:w="2160"/>
            <w:vAlign w:val="center"/>
          </w:tcPr>
          <w:p>
            <w:pPr>
              <w:jc w:val="left"/>
            </w:pPr>
            <w:r>
              <w:rPr>
                <w:rFonts w:ascii="Calibri" w:hAnsi="Calibri"/>
                <w:color w:val="0A0A0A"/>
                <w:sz w:val="19"/>
              </w:rPr>
              <w:t>USSOCOM</w:t>
            </w:r>
          </w:p>
        </w:tc>
        <w:tc>
          <w:tcPr>
            <w:tcW w:type="dxa" w:w="3600"/>
            <w:vAlign w:val="center"/>
          </w:tcPr>
          <w:p>
            <w:pPr>
              <w:jc w:val="left"/>
            </w:pPr>
            <w:r>
              <w:rPr>
                <w:rFonts w:ascii="Calibri" w:hAnsi="Calibri"/>
                <w:color w:val="0A0A0A"/>
                <w:sz w:val="19"/>
              </w:rPr>
              <w:t>SOF AT&amp;L</w:t>
            </w:r>
          </w:p>
        </w:tc>
        <w:tc>
          <w:tcPr>
            <w:tcW w:type="dxa" w:w="5472"/>
            <w:vAlign w:val="center"/>
          </w:tcPr>
          <w:p>
            <w:pPr>
              <w:jc w:val="left"/>
            </w:pPr>
            <w:r>
              <w:rPr>
                <w:rFonts w:ascii="Calibri" w:hAnsi="Calibri"/>
                <w:color w:val="0A0A0A"/>
                <w:sz w:val="19"/>
              </w:rPr>
              <w:t>Acquisition, Technology and Logistics — decision-makers</w:t>
            </w:r>
          </w:p>
        </w:tc>
      </w:tr>
      <w:tr>
        <w:tc>
          <w:tcPr>
            <w:tcW w:type="dxa" w:w="2160"/>
            <w:shd w:val="clear" w:color="auto" w:fill="F0F4F0"/>
            <w:vAlign w:val="center"/>
          </w:tcPr>
          <w:p>
            <w:pPr>
              <w:jc w:val="left"/>
            </w:pPr>
            <w:r>
              <w:rPr>
                <w:rFonts w:ascii="Calibri" w:hAnsi="Calibri"/>
                <w:color w:val="0A0A0A"/>
                <w:sz w:val="19"/>
              </w:rPr>
              <w:t>USSOCOM</w:t>
            </w:r>
          </w:p>
        </w:tc>
        <w:tc>
          <w:tcPr>
            <w:tcW w:type="dxa" w:w="3600"/>
            <w:shd w:val="clear" w:color="auto" w:fill="F0F4F0"/>
            <w:vAlign w:val="center"/>
          </w:tcPr>
          <w:p>
            <w:pPr>
              <w:jc w:val="left"/>
            </w:pPr>
            <w:r>
              <w:rPr>
                <w:rFonts w:ascii="Calibri" w:hAnsi="Calibri"/>
                <w:color w:val="0A0A0A"/>
                <w:sz w:val="19"/>
              </w:rPr>
              <w:t>SOFWERX (Tampa, FL)</w:t>
            </w:r>
          </w:p>
        </w:tc>
        <w:tc>
          <w:tcPr>
            <w:tcW w:type="dxa" w:w="5472"/>
            <w:shd w:val="clear" w:color="auto" w:fill="F0F4F0"/>
            <w:vAlign w:val="center"/>
          </w:tcPr>
          <w:p>
            <w:pPr>
              <w:jc w:val="left"/>
            </w:pPr>
            <w:r>
              <w:rPr>
                <w:rFonts w:ascii="Calibri" w:hAnsi="Calibri"/>
                <w:color w:val="0A0A0A"/>
                <w:sz w:val="19"/>
              </w:rPr>
              <w:t>Innovation hub — direct access without prime contractor</w:t>
            </w:r>
          </w:p>
        </w:tc>
      </w:tr>
      <w:tr>
        <w:tc>
          <w:tcPr>
            <w:tcW w:type="dxa" w:w="2160"/>
            <w:vAlign w:val="center"/>
          </w:tcPr>
          <w:p>
            <w:pPr>
              <w:jc w:val="left"/>
            </w:pPr>
            <w:r>
              <w:rPr>
                <w:rFonts w:ascii="Calibri" w:hAnsi="Calibri"/>
                <w:color w:val="0A0A0A"/>
                <w:sz w:val="19"/>
              </w:rPr>
              <w:t>DARPA</w:t>
            </w:r>
          </w:p>
        </w:tc>
        <w:tc>
          <w:tcPr>
            <w:tcW w:type="dxa" w:w="3600"/>
            <w:vAlign w:val="center"/>
          </w:tcPr>
          <w:p>
            <w:pPr>
              <w:jc w:val="left"/>
            </w:pPr>
            <w:r>
              <w:rPr>
                <w:rFonts w:ascii="Calibri" w:hAnsi="Calibri"/>
                <w:color w:val="0A0A0A"/>
                <w:sz w:val="19"/>
              </w:rPr>
              <w:t>Tactical Technology Office (TTO)</w:t>
            </w:r>
          </w:p>
        </w:tc>
        <w:tc>
          <w:tcPr>
            <w:tcW w:type="dxa" w:w="5472"/>
            <w:vAlign w:val="center"/>
          </w:tcPr>
          <w:p>
            <w:pPr>
              <w:jc w:val="left"/>
            </w:pPr>
            <w:r>
              <w:rPr>
                <w:rFonts w:ascii="Calibri" w:hAnsi="Calibri"/>
                <w:color w:val="0A0A0A"/>
                <w:sz w:val="19"/>
              </w:rPr>
              <w:t>Funds novel military hardware programs</w:t>
            </w:r>
          </w:p>
        </w:tc>
      </w:tr>
      <w:tr>
        <w:tc>
          <w:tcPr>
            <w:tcW w:type="dxa" w:w="2160"/>
            <w:shd w:val="clear" w:color="auto" w:fill="F0F4F0"/>
            <w:vAlign w:val="center"/>
          </w:tcPr>
          <w:p>
            <w:pPr>
              <w:jc w:val="left"/>
            </w:pPr>
            <w:r>
              <w:rPr>
                <w:rFonts w:ascii="Calibri" w:hAnsi="Calibri"/>
                <w:color w:val="0A0A0A"/>
                <w:sz w:val="19"/>
              </w:rPr>
              <w:t>DoD</w:t>
            </w:r>
          </w:p>
        </w:tc>
        <w:tc>
          <w:tcPr>
            <w:tcW w:type="dxa" w:w="3600"/>
            <w:shd w:val="clear" w:color="auto" w:fill="F0F4F0"/>
            <w:vAlign w:val="center"/>
          </w:tcPr>
          <w:p>
            <w:pPr>
              <w:jc w:val="left"/>
            </w:pPr>
            <w:r>
              <w:rPr>
                <w:rFonts w:ascii="Calibri" w:hAnsi="Calibri"/>
                <w:color w:val="0A0A0A"/>
                <w:sz w:val="19"/>
              </w:rPr>
              <w:t>Defense Innovation Unit (DIU)</w:t>
            </w:r>
          </w:p>
        </w:tc>
        <w:tc>
          <w:tcPr>
            <w:tcW w:type="dxa" w:w="5472"/>
            <w:shd w:val="clear" w:color="auto" w:fill="F0F4F0"/>
            <w:vAlign w:val="center"/>
          </w:tcPr>
          <w:p>
            <w:pPr>
              <w:jc w:val="left"/>
            </w:pPr>
            <w:r>
              <w:rPr>
                <w:rFonts w:ascii="Calibri" w:hAnsi="Calibri"/>
                <w:color w:val="0A0A0A"/>
                <w:sz w:val="19"/>
              </w:rPr>
              <w:t>Bridge between commercial tech and DoD — no SBIR needed</w:t>
            </w:r>
          </w:p>
        </w:tc>
      </w:tr>
      <w:tr>
        <w:tc>
          <w:tcPr>
            <w:tcW w:type="dxa" w:w="2160"/>
            <w:vAlign w:val="center"/>
          </w:tcPr>
          <w:p>
            <w:pPr>
              <w:jc w:val="left"/>
            </w:pPr>
            <w:r>
              <w:rPr>
                <w:rFonts w:ascii="Calibri" w:hAnsi="Calibri"/>
                <w:color w:val="0A0A0A"/>
                <w:sz w:val="19"/>
              </w:rPr>
              <w:t>USMC</w:t>
            </w:r>
          </w:p>
        </w:tc>
        <w:tc>
          <w:tcPr>
            <w:tcW w:type="dxa" w:w="3600"/>
            <w:vAlign w:val="center"/>
          </w:tcPr>
          <w:p>
            <w:pPr>
              <w:jc w:val="left"/>
            </w:pPr>
            <w:r>
              <w:rPr>
                <w:rFonts w:ascii="Calibri" w:hAnsi="Calibri"/>
                <w:color w:val="0A0A0A"/>
                <w:sz w:val="19"/>
              </w:rPr>
              <w:t>MARCORSYSCOM</w:t>
            </w:r>
          </w:p>
        </w:tc>
        <w:tc>
          <w:tcPr>
            <w:tcW w:type="dxa" w:w="5472"/>
            <w:vAlign w:val="center"/>
          </w:tcPr>
          <w:p>
            <w:pPr>
              <w:jc w:val="left"/>
            </w:pPr>
            <w:r>
              <w:rPr>
                <w:rFonts w:ascii="Calibri" w:hAnsi="Calibri"/>
                <w:color w:val="0A0A0A"/>
                <w:sz w:val="19"/>
              </w:rPr>
              <w:t>Marine Corps Systems Command — procurement authority</w:t>
            </w:r>
          </w:p>
        </w:tc>
      </w:tr>
    </w:tbl>
    <w:p/>
    <w:p>
      <w:r>
        <w:br w:type="page"/>
      </w:r>
    </w:p>
    <w:p>
      <w:pPr>
        <w:spacing w:before="360" w:after="80"/>
        <w:pBdr>
          <w:bottom w:val="single" w:sz="8" w:space="1" w:color="D4810F"/>
        </w:pBdr>
      </w:pPr>
      <w:r>
        <w:rPr>
          <w:rFonts w:ascii="Calibri" w:hAnsi="Calibri"/>
          <w:b/>
          <w:color w:val="D47E0F"/>
          <w:sz w:val="30"/>
        </w:rPr>
        <w:t>7. FULL SUMMARY — THE COMPLETE PICTURE</w:t>
      </w:r>
    </w:p>
    <w:p>
      <w:pPr>
        <w:spacing w:before="240" w:after="60"/>
      </w:pPr>
      <w:r>
        <w:rPr>
          <w:rFonts w:ascii="Calibri" w:hAnsi="Calibri"/>
          <w:b/>
          <w:color w:val="1A1A2E"/>
          <w:sz w:val="24"/>
        </w:rPr>
        <w:t>7.1 The Opportunity in One Paragraph</w:t>
      </w:r>
    </w:p>
    <w:p>
      <w:pPr>
        <w:spacing w:after="120"/>
      </w:pPr>
      <w:r>
        <w:rPr>
          <w:rFonts w:ascii="Calibri" w:hAnsi="Calibri"/>
          <w:color w:val="0A0A0A"/>
          <w:sz w:val="21"/>
        </w:rPr>
        <w:t>The US military spends over $20 billion per year on energy, pays up to $400 per gallon to deliver fuel to remote forward operating bases, and loses soldiers in fuel resupply convoys. Diesel generators are the current standard — noisy, fuel-hungry, and logistically expensive. Existing alternatives (solar, wind, batteries) reduce but do not eliminate the fuel dependency. Chargebotic is the first system that taps existing overhead power line infrastructure autonomously — no fuel, no weather dependency, no convoy — and delivers that energy to a ground battery station via tether. The market is $7.7B–$10.8B today growing at double-digit CAGR. There is no direct competitor. The fastest path is to call Chariot Defense (already funded at $41M by a16z, routes power but needs a source), file IP immediately, and run B2B2G and SBIR in parallel.</w:t>
      </w:r>
    </w:p>
    <w:p>
      <w:pPr>
        <w:spacing w:before="240" w:after="60"/>
      </w:pPr>
      <w:r>
        <w:rPr>
          <w:rFonts w:ascii="Calibri" w:hAnsi="Calibri"/>
          <w:b/>
          <w:color w:val="1A1A2E"/>
          <w:sz w:val="24"/>
        </w:rPr>
        <w:t>7.2 Complete Data Summary</w:t>
      </w:r>
    </w:p>
    <w:tbl>
      <w:tblPr>
        <w:tblStyle w:val="TableGrid"/>
        <w:tblW w:type="auto" w:w="0"/>
        <w:jc w:val="center"/>
        <w:tblLook w:firstColumn="1" w:firstRow="1" w:lastColumn="0" w:lastRow="0" w:noHBand="0" w:noVBand="1" w:val="04A0"/>
      </w:tblPr>
      <w:tblGrid>
        <w:gridCol w:w="3024"/>
        <w:gridCol w:w="3024"/>
        <w:gridCol w:w="3024"/>
      </w:tblGrid>
      <w:tr>
        <w:tc>
          <w:tcPr>
            <w:tcW w:type="dxa" w:w="4032"/>
            <w:shd w:val="clear" w:color="auto" w:fill="1A2E1A"/>
            <w:vAlign w:val="center"/>
          </w:tcPr>
          <w:p>
            <w:pPr>
              <w:jc w:val="left"/>
            </w:pPr>
            <w:r>
              <w:rPr>
                <w:rFonts w:ascii="Calibri" w:hAnsi="Calibri"/>
                <w:b/>
                <w:color w:val="FFFFFF"/>
                <w:sz w:val="18"/>
              </w:rPr>
              <w:t>DIMENSION</w:t>
            </w:r>
          </w:p>
        </w:tc>
        <w:tc>
          <w:tcPr>
            <w:tcW w:type="dxa" w:w="2592"/>
            <w:shd w:val="clear" w:color="auto" w:fill="1A2E1A"/>
            <w:vAlign w:val="center"/>
          </w:tcPr>
          <w:p>
            <w:pPr>
              <w:jc w:val="left"/>
            </w:pPr>
            <w:r>
              <w:rPr>
                <w:rFonts w:ascii="Calibri" w:hAnsi="Calibri"/>
                <w:b/>
                <w:color w:val="FFFFFF"/>
                <w:sz w:val="18"/>
              </w:rPr>
              <w:t>DATA</w:t>
            </w:r>
          </w:p>
        </w:tc>
        <w:tc>
          <w:tcPr>
            <w:tcW w:type="dxa" w:w="4464"/>
            <w:shd w:val="clear" w:color="auto" w:fill="1A2E1A"/>
            <w:vAlign w:val="center"/>
          </w:tcPr>
          <w:p>
            <w:pPr>
              <w:jc w:val="left"/>
            </w:pPr>
            <w:r>
              <w:rPr>
                <w:rFonts w:ascii="Calibri" w:hAnsi="Calibri"/>
                <w:b/>
                <w:color w:val="FFFFFF"/>
                <w:sz w:val="18"/>
              </w:rPr>
              <w:t>SOURCE / NOTES</w:t>
            </w:r>
          </w:p>
        </w:tc>
      </w:tr>
      <w:tr>
        <w:tc>
          <w:tcPr>
            <w:tcW w:type="dxa" w:w="4032"/>
            <w:vAlign w:val="center"/>
          </w:tcPr>
          <w:p>
            <w:pPr>
              <w:jc w:val="left"/>
            </w:pPr>
            <w:r>
              <w:rPr>
                <w:rFonts w:ascii="Calibri" w:hAnsi="Calibri"/>
                <w:color w:val="0A0A0A"/>
                <w:sz w:val="19"/>
              </w:rPr>
              <w:t>TAM (military power market, 2024)</w:t>
            </w:r>
          </w:p>
        </w:tc>
        <w:tc>
          <w:tcPr>
            <w:tcW w:type="dxa" w:w="2592"/>
            <w:vAlign w:val="center"/>
          </w:tcPr>
          <w:p>
            <w:pPr>
              <w:jc w:val="left"/>
            </w:pPr>
            <w:r>
              <w:rPr>
                <w:rFonts w:ascii="Calibri" w:hAnsi="Calibri"/>
                <w:color w:val="0A0A0A"/>
                <w:sz w:val="19"/>
              </w:rPr>
              <w:t>$7.7B–$10.8B</w:t>
            </w:r>
          </w:p>
        </w:tc>
        <w:tc>
          <w:tcPr>
            <w:tcW w:type="dxa" w:w="4464"/>
            <w:vAlign w:val="center"/>
          </w:tcPr>
          <w:p>
            <w:pPr>
              <w:jc w:val="left"/>
            </w:pPr>
            <w:r>
              <w:rPr>
                <w:rFonts w:ascii="Calibri" w:hAnsi="Calibri"/>
                <w:color w:val="0A0A0A"/>
                <w:sz w:val="19"/>
              </w:rPr>
              <w:t>Mordor Intelligence, IMARC, multiple</w:t>
            </w:r>
          </w:p>
        </w:tc>
      </w:tr>
      <w:tr>
        <w:tc>
          <w:tcPr>
            <w:tcW w:type="dxa" w:w="4032"/>
            <w:shd w:val="clear" w:color="auto" w:fill="F0F4F0"/>
            <w:vAlign w:val="center"/>
          </w:tcPr>
          <w:p>
            <w:pPr>
              <w:jc w:val="left"/>
            </w:pPr>
            <w:r>
              <w:rPr>
                <w:rFonts w:ascii="Calibri" w:hAnsi="Calibri"/>
                <w:color w:val="0A0A0A"/>
                <w:sz w:val="19"/>
              </w:rPr>
              <w:t>TAM projection (2030–32)</w:t>
            </w:r>
          </w:p>
        </w:tc>
        <w:tc>
          <w:tcPr>
            <w:tcW w:type="dxa" w:w="2592"/>
            <w:shd w:val="clear" w:color="auto" w:fill="F0F4F0"/>
            <w:vAlign w:val="center"/>
          </w:tcPr>
          <w:p>
            <w:pPr>
              <w:jc w:val="left"/>
            </w:pPr>
            <w:r>
              <w:rPr>
                <w:rFonts w:ascii="Calibri" w:hAnsi="Calibri"/>
                <w:color w:val="0A0A0A"/>
                <w:sz w:val="19"/>
              </w:rPr>
              <w:t>$13.6B–$24.9B</w:t>
            </w:r>
          </w:p>
        </w:tc>
        <w:tc>
          <w:tcPr>
            <w:tcW w:type="dxa" w:w="4464"/>
            <w:shd w:val="clear" w:color="auto" w:fill="F0F4F0"/>
            <w:vAlign w:val="center"/>
          </w:tcPr>
          <w:p>
            <w:pPr>
              <w:jc w:val="left"/>
            </w:pPr>
            <w:r>
              <w:rPr>
                <w:rFonts w:ascii="Calibri" w:hAnsi="Calibri"/>
                <w:color w:val="0A0A0A"/>
                <w:sz w:val="19"/>
              </w:rPr>
              <w:t>8.5–9.7% CAGR</w:t>
            </w:r>
          </w:p>
        </w:tc>
      </w:tr>
      <w:tr>
        <w:tc>
          <w:tcPr>
            <w:tcW w:type="dxa" w:w="4032"/>
            <w:vAlign w:val="center"/>
          </w:tcPr>
          <w:p>
            <w:pPr>
              <w:jc w:val="left"/>
            </w:pPr>
            <w:r>
              <w:rPr>
                <w:rFonts w:ascii="Calibri" w:hAnsi="Calibri"/>
                <w:color w:val="0A0A0A"/>
                <w:sz w:val="19"/>
              </w:rPr>
              <w:t>Military microgrid sub-market</w:t>
            </w:r>
          </w:p>
        </w:tc>
        <w:tc>
          <w:tcPr>
            <w:tcW w:type="dxa" w:w="2592"/>
            <w:vAlign w:val="center"/>
          </w:tcPr>
          <w:p>
            <w:pPr>
              <w:jc w:val="left"/>
            </w:pPr>
            <w:r>
              <w:rPr>
                <w:rFonts w:ascii="Calibri" w:hAnsi="Calibri"/>
                <w:color w:val="0A0A0A"/>
                <w:sz w:val="19"/>
              </w:rPr>
              <w:t>$2.0B (19.1% CAGR)</w:t>
            </w:r>
          </w:p>
        </w:tc>
        <w:tc>
          <w:tcPr>
            <w:tcW w:type="dxa" w:w="4464"/>
            <w:vAlign w:val="center"/>
          </w:tcPr>
          <w:p>
            <w:pPr>
              <w:jc w:val="left"/>
            </w:pPr>
            <w:r>
              <w:rPr>
                <w:rFonts w:ascii="Calibri" w:hAnsi="Calibri"/>
                <w:color w:val="0A0A0A"/>
                <w:sz w:val="19"/>
              </w:rPr>
              <w:t>GM Insights 2024</w:t>
            </w:r>
          </w:p>
        </w:tc>
      </w:tr>
      <w:tr>
        <w:tc>
          <w:tcPr>
            <w:tcW w:type="dxa" w:w="4032"/>
            <w:shd w:val="clear" w:color="auto" w:fill="F0F4F0"/>
            <w:vAlign w:val="center"/>
          </w:tcPr>
          <w:p>
            <w:pPr>
              <w:jc w:val="left"/>
            </w:pPr>
            <w:r>
              <w:rPr>
                <w:rFonts w:ascii="Calibri" w:hAnsi="Calibri"/>
                <w:color w:val="0A0A0A"/>
                <w:sz w:val="19"/>
              </w:rPr>
              <w:t>Chargebotic SAM</w:t>
            </w:r>
          </w:p>
        </w:tc>
        <w:tc>
          <w:tcPr>
            <w:tcW w:type="dxa" w:w="2592"/>
            <w:shd w:val="clear" w:color="auto" w:fill="F0F4F0"/>
            <w:vAlign w:val="center"/>
          </w:tcPr>
          <w:p>
            <w:pPr>
              <w:jc w:val="left"/>
            </w:pPr>
            <w:r>
              <w:rPr>
                <w:rFonts w:ascii="Calibri" w:hAnsi="Calibri"/>
                <w:color w:val="0A0A0A"/>
                <w:sz w:val="19"/>
              </w:rPr>
              <w:t>$400M–$800M</w:t>
            </w:r>
          </w:p>
        </w:tc>
        <w:tc>
          <w:tcPr>
            <w:tcW w:type="dxa" w:w="4464"/>
            <w:shd w:val="clear" w:color="auto" w:fill="F0F4F0"/>
            <w:vAlign w:val="center"/>
          </w:tcPr>
          <w:p>
            <w:pPr>
              <w:jc w:val="left"/>
            </w:pPr>
            <w:r>
              <w:rPr>
                <w:rFonts w:ascii="Calibri" w:hAnsi="Calibri"/>
                <w:color w:val="0A0A0A"/>
                <w:sz w:val="19"/>
              </w:rPr>
              <w:t>Deployable off-grid tactical power</w:t>
            </w:r>
          </w:p>
        </w:tc>
      </w:tr>
      <w:tr>
        <w:tc>
          <w:tcPr>
            <w:tcW w:type="dxa" w:w="4032"/>
            <w:vAlign w:val="center"/>
          </w:tcPr>
          <w:p>
            <w:pPr>
              <w:jc w:val="left"/>
            </w:pPr>
            <w:r>
              <w:rPr>
                <w:rFonts w:ascii="Calibri" w:hAnsi="Calibri"/>
                <w:color w:val="0A0A0A"/>
                <w:sz w:val="19"/>
              </w:rPr>
              <w:t>DoD annual energy spend</w:t>
            </w:r>
          </w:p>
        </w:tc>
        <w:tc>
          <w:tcPr>
            <w:tcW w:type="dxa" w:w="2592"/>
            <w:vAlign w:val="center"/>
          </w:tcPr>
          <w:p>
            <w:pPr>
              <w:jc w:val="left"/>
            </w:pPr>
            <w:r>
              <w:rPr>
                <w:rFonts w:ascii="Calibri" w:hAnsi="Calibri"/>
                <w:color w:val="0A0A0A"/>
                <w:sz w:val="19"/>
              </w:rPr>
              <w:t>$20B+</w:t>
            </w:r>
          </w:p>
        </w:tc>
        <w:tc>
          <w:tcPr>
            <w:tcW w:type="dxa" w:w="4464"/>
            <w:vAlign w:val="center"/>
          </w:tcPr>
          <w:p>
            <w:pPr>
              <w:jc w:val="left"/>
            </w:pPr>
            <w:r>
              <w:rPr>
                <w:rFonts w:ascii="Calibri" w:hAnsi="Calibri"/>
                <w:color w:val="0A0A0A"/>
                <w:sz w:val="19"/>
              </w:rPr>
              <w:t>Electric Choice / Army.mil</w:t>
            </w:r>
          </w:p>
        </w:tc>
      </w:tr>
      <w:tr>
        <w:tc>
          <w:tcPr>
            <w:tcW w:type="dxa" w:w="4032"/>
            <w:shd w:val="clear" w:color="auto" w:fill="F0F4F0"/>
            <w:vAlign w:val="center"/>
          </w:tcPr>
          <w:p>
            <w:pPr>
              <w:jc w:val="left"/>
            </w:pPr>
            <w:r>
              <w:rPr>
                <w:rFonts w:ascii="Calibri" w:hAnsi="Calibri"/>
                <w:color w:val="0A0A0A"/>
                <w:sz w:val="19"/>
              </w:rPr>
              <w:t>Fully burdened fuel cost (FOB)</w:t>
            </w:r>
          </w:p>
        </w:tc>
        <w:tc>
          <w:tcPr>
            <w:tcW w:type="dxa" w:w="2592"/>
            <w:shd w:val="clear" w:color="auto" w:fill="F0F4F0"/>
            <w:vAlign w:val="center"/>
          </w:tcPr>
          <w:p>
            <w:pPr>
              <w:jc w:val="left"/>
            </w:pPr>
            <w:r>
              <w:rPr>
                <w:rFonts w:ascii="Calibri" w:hAnsi="Calibri"/>
                <w:color w:val="0A0A0A"/>
                <w:sz w:val="19"/>
              </w:rPr>
              <w:t>$400/gallon</w:t>
            </w:r>
          </w:p>
        </w:tc>
        <w:tc>
          <w:tcPr>
            <w:tcW w:type="dxa" w:w="4464"/>
            <w:shd w:val="clear" w:color="auto" w:fill="F0F4F0"/>
            <w:vAlign w:val="center"/>
          </w:tcPr>
          <w:p>
            <w:pPr>
              <w:jc w:val="left"/>
            </w:pPr>
            <w:r>
              <w:rPr>
                <w:rFonts w:ascii="Calibri" w:hAnsi="Calibri"/>
                <w:color w:val="0A0A0A"/>
                <w:sz w:val="19"/>
              </w:rPr>
              <w:t>vs. ~$3 at pump (RAND, Army.mil)</w:t>
            </w:r>
          </w:p>
        </w:tc>
      </w:tr>
      <w:tr>
        <w:tc>
          <w:tcPr>
            <w:tcW w:type="dxa" w:w="4032"/>
            <w:vAlign w:val="center"/>
          </w:tcPr>
          <w:p>
            <w:pPr>
              <w:jc w:val="left"/>
            </w:pPr>
            <w:r>
              <w:rPr>
                <w:rFonts w:ascii="Calibri" w:hAnsi="Calibri"/>
                <w:color w:val="0A0A0A"/>
                <w:sz w:val="19"/>
              </w:rPr>
              <w:t>Annual fuel spend (Army, FY2010)</w:t>
            </w:r>
          </w:p>
        </w:tc>
        <w:tc>
          <w:tcPr>
            <w:tcW w:type="dxa" w:w="2592"/>
            <w:vAlign w:val="center"/>
          </w:tcPr>
          <w:p>
            <w:pPr>
              <w:jc w:val="left"/>
            </w:pPr>
            <w:r>
              <w:rPr>
                <w:rFonts w:ascii="Calibri" w:hAnsi="Calibri"/>
                <w:color w:val="0A0A0A"/>
                <w:sz w:val="19"/>
              </w:rPr>
              <w:t>$2.7B</w:t>
            </w:r>
          </w:p>
        </w:tc>
        <w:tc>
          <w:tcPr>
            <w:tcW w:type="dxa" w:w="4464"/>
            <w:vAlign w:val="center"/>
          </w:tcPr>
          <w:p>
            <w:pPr>
              <w:jc w:val="left"/>
            </w:pPr>
            <w:r>
              <w:rPr>
                <w:rFonts w:ascii="Calibri" w:hAnsi="Calibri"/>
                <w:color w:val="0A0A0A"/>
                <w:sz w:val="19"/>
              </w:rPr>
              <w:t>70% theater operations — Army.mil</w:t>
            </w:r>
          </w:p>
        </w:tc>
      </w:tr>
      <w:tr>
        <w:tc>
          <w:tcPr>
            <w:tcW w:type="dxa" w:w="4032"/>
            <w:shd w:val="clear" w:color="auto" w:fill="F0F4F0"/>
            <w:vAlign w:val="center"/>
          </w:tcPr>
          <w:p>
            <w:pPr>
              <w:jc w:val="left"/>
            </w:pPr>
            <w:r>
              <w:rPr>
                <w:rFonts w:ascii="Calibri" w:hAnsi="Calibri"/>
                <w:color w:val="0A0A0A"/>
                <w:sz w:val="19"/>
              </w:rPr>
              <w:t>Convoy casualty rate (Afghanistan)</w:t>
            </w:r>
          </w:p>
        </w:tc>
        <w:tc>
          <w:tcPr>
            <w:tcW w:type="dxa" w:w="2592"/>
            <w:shd w:val="clear" w:color="auto" w:fill="F0F4F0"/>
            <w:vAlign w:val="center"/>
          </w:tcPr>
          <w:p>
            <w:pPr>
              <w:jc w:val="left"/>
            </w:pPr>
            <w:r>
              <w:rPr>
                <w:rFonts w:ascii="Calibri" w:hAnsi="Calibri"/>
                <w:color w:val="0A0A0A"/>
                <w:sz w:val="19"/>
              </w:rPr>
              <w:t>1 per 24 convoys</w:t>
            </w:r>
          </w:p>
        </w:tc>
        <w:tc>
          <w:tcPr>
            <w:tcW w:type="dxa" w:w="4464"/>
            <w:shd w:val="clear" w:color="auto" w:fill="F0F4F0"/>
            <w:vAlign w:val="center"/>
          </w:tcPr>
          <w:p>
            <w:pPr>
              <w:jc w:val="left"/>
            </w:pPr>
            <w:r>
              <w:rPr>
                <w:rFonts w:ascii="Calibri" w:hAnsi="Calibri"/>
                <w:color w:val="0A0A0A"/>
                <w:sz w:val="19"/>
              </w:rPr>
              <w:t>Sustain the Mission Project (DTIC)</w:t>
            </w:r>
          </w:p>
        </w:tc>
      </w:tr>
      <w:tr>
        <w:tc>
          <w:tcPr>
            <w:tcW w:type="dxa" w:w="4032"/>
            <w:vAlign w:val="center"/>
          </w:tcPr>
          <w:p>
            <w:pPr>
              <w:jc w:val="left"/>
            </w:pPr>
            <w:r>
              <w:rPr>
                <w:rFonts w:ascii="Calibri" w:hAnsi="Calibri"/>
                <w:color w:val="0A0A0A"/>
                <w:sz w:val="19"/>
              </w:rPr>
              <w:t>Fuel-related convoy casualties</w:t>
            </w:r>
          </w:p>
        </w:tc>
        <w:tc>
          <w:tcPr>
            <w:tcW w:type="dxa" w:w="2592"/>
            <w:vAlign w:val="center"/>
          </w:tcPr>
          <w:p>
            <w:pPr>
              <w:jc w:val="left"/>
            </w:pPr>
            <w:r>
              <w:rPr>
                <w:rFonts w:ascii="Calibri" w:hAnsi="Calibri"/>
                <w:color w:val="0A0A0A"/>
                <w:sz w:val="19"/>
              </w:rPr>
              <w:t>50%+ (Afg), 30% (Iraq)</w:t>
            </w:r>
          </w:p>
        </w:tc>
        <w:tc>
          <w:tcPr>
            <w:tcW w:type="dxa" w:w="4464"/>
            <w:vAlign w:val="center"/>
          </w:tcPr>
          <w:p>
            <w:pPr>
              <w:jc w:val="left"/>
            </w:pPr>
            <w:r>
              <w:rPr>
                <w:rFonts w:ascii="Calibri" w:hAnsi="Calibri"/>
                <w:color w:val="0A0A0A"/>
                <w:sz w:val="19"/>
              </w:rPr>
              <w:t>2009 data — Army Technology</w:t>
            </w:r>
          </w:p>
        </w:tc>
      </w:tr>
      <w:tr>
        <w:tc>
          <w:tcPr>
            <w:tcW w:type="dxa" w:w="4032"/>
            <w:shd w:val="clear" w:color="auto" w:fill="F0F4F0"/>
            <w:vAlign w:val="center"/>
          </w:tcPr>
          <w:p>
            <w:pPr>
              <w:jc w:val="left"/>
            </w:pPr>
            <w:r>
              <w:rPr>
                <w:rFonts w:ascii="Calibri" w:hAnsi="Calibri"/>
                <w:color w:val="0A0A0A"/>
                <w:sz w:val="19"/>
              </w:rPr>
              <w:t>DoD monthly fuel volume in theater</w:t>
            </w:r>
          </w:p>
        </w:tc>
        <w:tc>
          <w:tcPr>
            <w:tcW w:type="dxa" w:w="2592"/>
            <w:shd w:val="clear" w:color="auto" w:fill="F0F4F0"/>
            <w:vAlign w:val="center"/>
          </w:tcPr>
          <w:p>
            <w:pPr>
              <w:jc w:val="left"/>
            </w:pPr>
            <w:r>
              <w:rPr>
                <w:rFonts w:ascii="Calibri" w:hAnsi="Calibri"/>
                <w:color w:val="0A0A0A"/>
                <w:sz w:val="19"/>
              </w:rPr>
              <w:t>68M gallons</w:t>
            </w:r>
          </w:p>
        </w:tc>
        <w:tc>
          <w:tcPr>
            <w:tcW w:type="dxa" w:w="4464"/>
            <w:shd w:val="clear" w:color="auto" w:fill="F0F4F0"/>
            <w:vAlign w:val="center"/>
          </w:tcPr>
          <w:p>
            <w:pPr>
              <w:jc w:val="left"/>
            </w:pPr>
            <w:r>
              <w:rPr>
                <w:rFonts w:ascii="Calibri" w:hAnsi="Calibri"/>
                <w:color w:val="0A0A0A"/>
                <w:sz w:val="19"/>
              </w:rPr>
              <w:t>2008 average — Army.mil</w:t>
            </w:r>
          </w:p>
        </w:tc>
      </w:tr>
      <w:tr>
        <w:tc>
          <w:tcPr>
            <w:tcW w:type="dxa" w:w="4032"/>
            <w:vAlign w:val="center"/>
          </w:tcPr>
          <w:p>
            <w:pPr>
              <w:jc w:val="left"/>
            </w:pPr>
            <w:r>
              <w:rPr>
                <w:rFonts w:ascii="Calibri" w:hAnsi="Calibri"/>
                <w:color w:val="0A0A0A"/>
                <w:sz w:val="19"/>
              </w:rPr>
              <w:t>Primary customer</w:t>
            </w:r>
          </w:p>
        </w:tc>
        <w:tc>
          <w:tcPr>
            <w:tcW w:type="dxa" w:w="2592"/>
            <w:vAlign w:val="center"/>
          </w:tcPr>
          <w:p>
            <w:pPr>
              <w:jc w:val="left"/>
            </w:pPr>
            <w:r>
              <w:rPr>
                <w:rFonts w:ascii="Calibri" w:hAnsi="Calibri"/>
                <w:color w:val="0A0A0A"/>
                <w:sz w:val="19"/>
              </w:rPr>
              <w:t>US Army</w:t>
            </w:r>
          </w:p>
        </w:tc>
        <w:tc>
          <w:tcPr>
            <w:tcW w:type="dxa" w:w="4464"/>
            <w:vAlign w:val="center"/>
          </w:tcPr>
          <w:p>
            <w:pPr>
              <w:jc w:val="left"/>
            </w:pPr>
            <w:r>
              <w:rPr>
                <w:rFonts w:ascii="Calibri" w:hAnsi="Calibri"/>
                <w:color w:val="0A0A0A"/>
                <w:sz w:val="19"/>
              </w:rPr>
              <w:t>32 active + 27 NG BCTs = 59 total</w:t>
            </w:r>
          </w:p>
        </w:tc>
      </w:tr>
      <w:tr>
        <w:tc>
          <w:tcPr>
            <w:tcW w:type="dxa" w:w="4032"/>
            <w:shd w:val="clear" w:color="auto" w:fill="F0F4F0"/>
            <w:vAlign w:val="center"/>
          </w:tcPr>
          <w:p>
            <w:pPr>
              <w:jc w:val="left"/>
            </w:pPr>
            <w:r>
              <w:rPr>
                <w:rFonts w:ascii="Calibri" w:hAnsi="Calibri"/>
                <w:color w:val="0A0A0A"/>
                <w:sz w:val="19"/>
              </w:rPr>
              <w:t>High-priority customer</w:t>
            </w:r>
          </w:p>
        </w:tc>
        <w:tc>
          <w:tcPr>
            <w:tcW w:type="dxa" w:w="2592"/>
            <w:shd w:val="clear" w:color="auto" w:fill="F0F4F0"/>
            <w:vAlign w:val="center"/>
          </w:tcPr>
          <w:p>
            <w:pPr>
              <w:jc w:val="left"/>
            </w:pPr>
            <w:r>
              <w:rPr>
                <w:rFonts w:ascii="Calibri" w:hAnsi="Calibri"/>
                <w:color w:val="0A0A0A"/>
                <w:sz w:val="19"/>
              </w:rPr>
              <w:t>USSOCOM</w:t>
            </w:r>
          </w:p>
        </w:tc>
        <w:tc>
          <w:tcPr>
            <w:tcW w:type="dxa" w:w="4464"/>
            <w:shd w:val="clear" w:color="auto" w:fill="F0F4F0"/>
            <w:vAlign w:val="center"/>
          </w:tcPr>
          <w:p>
            <w:pPr>
              <w:jc w:val="left"/>
            </w:pPr>
            <w:r>
              <w:rPr>
                <w:rFonts w:ascii="Calibri" w:hAnsi="Calibri"/>
                <w:color w:val="0A0A0A"/>
                <w:sz w:val="19"/>
              </w:rPr>
              <w:t>73K SOF, own acquisition authority</w:t>
            </w:r>
          </w:p>
        </w:tc>
      </w:tr>
      <w:tr>
        <w:tc>
          <w:tcPr>
            <w:tcW w:type="dxa" w:w="4032"/>
            <w:vAlign w:val="center"/>
          </w:tcPr>
          <w:p>
            <w:pPr>
              <w:jc w:val="left"/>
            </w:pPr>
            <w:r>
              <w:rPr>
                <w:rFonts w:ascii="Calibri" w:hAnsi="Calibri"/>
                <w:color w:val="0A0A0A"/>
                <w:sz w:val="19"/>
              </w:rPr>
              <w:t>Secondary customer</w:t>
            </w:r>
          </w:p>
        </w:tc>
        <w:tc>
          <w:tcPr>
            <w:tcW w:type="dxa" w:w="2592"/>
            <w:vAlign w:val="center"/>
          </w:tcPr>
          <w:p>
            <w:pPr>
              <w:jc w:val="left"/>
            </w:pPr>
            <w:r>
              <w:rPr>
                <w:rFonts w:ascii="Calibri" w:hAnsi="Calibri"/>
                <w:color w:val="0A0A0A"/>
                <w:sz w:val="19"/>
              </w:rPr>
              <w:t>USMC</w:t>
            </w:r>
          </w:p>
        </w:tc>
        <w:tc>
          <w:tcPr>
            <w:tcW w:type="dxa" w:w="4464"/>
            <w:vAlign w:val="center"/>
          </w:tcPr>
          <w:p>
            <w:pPr>
              <w:jc w:val="left"/>
            </w:pPr>
            <w:r>
              <w:rPr>
                <w:rFonts w:ascii="Calibri" w:hAnsi="Calibri"/>
                <w:color w:val="0A0A0A"/>
                <w:sz w:val="19"/>
              </w:rPr>
              <w:t>7 MEUs, expeditionary doctrine</w:t>
            </w:r>
          </w:p>
        </w:tc>
      </w:tr>
      <w:tr>
        <w:tc>
          <w:tcPr>
            <w:tcW w:type="dxa" w:w="4032"/>
            <w:shd w:val="clear" w:color="auto" w:fill="F0F4F0"/>
            <w:vAlign w:val="center"/>
          </w:tcPr>
          <w:p>
            <w:pPr>
              <w:jc w:val="left"/>
            </w:pPr>
            <w:r>
              <w:rPr>
                <w:rFonts w:ascii="Calibri" w:hAnsi="Calibri"/>
                <w:color w:val="0A0A0A"/>
                <w:sz w:val="19"/>
              </w:rPr>
              <w:t>BCT personnel</w:t>
            </w:r>
          </w:p>
        </w:tc>
        <w:tc>
          <w:tcPr>
            <w:tcW w:type="dxa" w:w="2592"/>
            <w:shd w:val="clear" w:color="auto" w:fill="F0F4F0"/>
            <w:vAlign w:val="center"/>
          </w:tcPr>
          <w:p>
            <w:pPr>
              <w:jc w:val="left"/>
            </w:pPr>
            <w:r>
              <w:rPr>
                <w:rFonts w:ascii="Calibri" w:hAnsi="Calibri"/>
                <w:color w:val="0A0A0A"/>
                <w:sz w:val="19"/>
              </w:rPr>
              <w:t>4,000–4,700</w:t>
            </w:r>
          </w:p>
        </w:tc>
        <w:tc>
          <w:tcPr>
            <w:tcW w:type="dxa" w:w="4464"/>
            <w:shd w:val="clear" w:color="auto" w:fill="F0F4F0"/>
            <w:vAlign w:val="center"/>
          </w:tcPr>
          <w:p>
            <w:pPr>
              <w:jc w:val="left"/>
            </w:pPr>
            <w:r>
              <w:rPr>
                <w:rFonts w:ascii="Calibri" w:hAnsi="Calibri"/>
                <w:color w:val="0A0A0A"/>
                <w:sz w:val="19"/>
              </w:rPr>
              <w:t>Per BCT, commanded by Colonel</w:t>
            </w:r>
          </w:p>
        </w:tc>
      </w:tr>
      <w:tr>
        <w:tc>
          <w:tcPr>
            <w:tcW w:type="dxa" w:w="4032"/>
            <w:vAlign w:val="center"/>
          </w:tcPr>
          <w:p>
            <w:pPr>
              <w:jc w:val="left"/>
            </w:pPr>
            <w:r>
              <w:rPr>
                <w:rFonts w:ascii="Calibri" w:hAnsi="Calibri"/>
                <w:color w:val="0A0A0A"/>
                <w:sz w:val="19"/>
              </w:rPr>
              <w:t>US overseas installations</w:t>
            </w:r>
          </w:p>
        </w:tc>
        <w:tc>
          <w:tcPr>
            <w:tcW w:type="dxa" w:w="2592"/>
            <w:vAlign w:val="center"/>
          </w:tcPr>
          <w:p>
            <w:pPr>
              <w:jc w:val="left"/>
            </w:pPr>
            <w:r>
              <w:rPr>
                <w:rFonts w:ascii="Calibri" w:hAnsi="Calibri"/>
                <w:color w:val="0A0A0A"/>
                <w:sz w:val="19"/>
              </w:rPr>
              <w:t>750+ in 80 countries</w:t>
            </w:r>
          </w:p>
        </w:tc>
        <w:tc>
          <w:tcPr>
            <w:tcW w:type="dxa" w:w="4464"/>
            <w:vAlign w:val="center"/>
          </w:tcPr>
          <w:p>
            <w:pPr>
              <w:jc w:val="left"/>
            </w:pPr>
            <w:r>
              <w:rPr>
                <w:rFonts w:ascii="Calibri" w:hAnsi="Calibri"/>
                <w:color w:val="0A0A0A"/>
                <w:sz w:val="19"/>
              </w:rPr>
              <w:t>WarCosts.org 2024</w:t>
            </w:r>
          </w:p>
        </w:tc>
      </w:tr>
      <w:tr>
        <w:tc>
          <w:tcPr>
            <w:tcW w:type="dxa" w:w="4032"/>
            <w:shd w:val="clear" w:color="auto" w:fill="F0F4F0"/>
            <w:vAlign w:val="center"/>
          </w:tcPr>
          <w:p>
            <w:pPr>
              <w:jc w:val="left"/>
            </w:pPr>
            <w:r>
              <w:rPr>
                <w:rFonts w:ascii="Calibri" w:hAnsi="Calibri"/>
                <w:color w:val="0A0A0A"/>
                <w:sz w:val="19"/>
              </w:rPr>
              <w:t>Direct competitors</w:t>
            </w:r>
          </w:p>
        </w:tc>
        <w:tc>
          <w:tcPr>
            <w:tcW w:type="dxa" w:w="2592"/>
            <w:shd w:val="clear" w:color="auto" w:fill="F0F4F0"/>
            <w:vAlign w:val="center"/>
          </w:tcPr>
          <w:p>
            <w:pPr>
              <w:jc w:val="left"/>
            </w:pPr>
            <w:r>
              <w:rPr>
                <w:rFonts w:ascii="Calibri" w:hAnsi="Calibri"/>
                <w:color w:val="0A0A0A"/>
                <w:sz w:val="19"/>
              </w:rPr>
              <w:t>0</w:t>
            </w:r>
          </w:p>
        </w:tc>
        <w:tc>
          <w:tcPr>
            <w:tcW w:type="dxa" w:w="4464"/>
            <w:shd w:val="clear" w:color="auto" w:fill="F0F4F0"/>
            <w:vAlign w:val="center"/>
          </w:tcPr>
          <w:p>
            <w:pPr>
              <w:jc w:val="left"/>
            </w:pPr>
            <w:r>
              <w:rPr>
                <w:rFonts w:ascii="Calibri" w:hAnsi="Calibri"/>
                <w:color w:val="0A0A0A"/>
                <w:sz w:val="19"/>
              </w:rPr>
              <w:t>White space — confirmed</w:t>
            </w:r>
          </w:p>
        </w:tc>
      </w:tr>
      <w:tr>
        <w:tc>
          <w:tcPr>
            <w:tcW w:type="dxa" w:w="4032"/>
            <w:vAlign w:val="center"/>
          </w:tcPr>
          <w:p>
            <w:pPr>
              <w:jc w:val="left"/>
            </w:pPr>
            <w:r>
              <w:rPr>
                <w:rFonts w:ascii="Calibri" w:hAnsi="Calibri"/>
                <w:color w:val="0A0A0A"/>
                <w:sz w:val="19"/>
              </w:rPr>
              <w:t>B2B2G priority #1</w:t>
            </w:r>
          </w:p>
        </w:tc>
        <w:tc>
          <w:tcPr>
            <w:tcW w:type="dxa" w:w="2592"/>
            <w:vAlign w:val="center"/>
          </w:tcPr>
          <w:p>
            <w:pPr>
              <w:jc w:val="left"/>
            </w:pPr>
            <w:r>
              <w:rPr>
                <w:rFonts w:ascii="Calibri" w:hAnsi="Calibri"/>
                <w:color w:val="0A0A0A"/>
                <w:sz w:val="19"/>
              </w:rPr>
              <w:t>Chariot Defense</w:t>
            </w:r>
          </w:p>
        </w:tc>
        <w:tc>
          <w:tcPr>
            <w:tcW w:type="dxa" w:w="4464"/>
            <w:vAlign w:val="center"/>
          </w:tcPr>
          <w:p>
            <w:pPr>
              <w:jc w:val="left"/>
            </w:pPr>
            <w:r>
              <w:rPr>
                <w:rFonts w:ascii="Calibri" w:hAnsi="Calibri"/>
                <w:color w:val="0A0A0A"/>
                <w:sz w:val="19"/>
              </w:rPr>
              <w:t>$41M a16z-led, needs a power source</w:t>
            </w:r>
          </w:p>
        </w:tc>
      </w:tr>
      <w:tr>
        <w:tc>
          <w:tcPr>
            <w:tcW w:type="dxa" w:w="4032"/>
            <w:shd w:val="clear" w:color="auto" w:fill="F0F4F0"/>
            <w:vAlign w:val="center"/>
          </w:tcPr>
          <w:p>
            <w:pPr>
              <w:jc w:val="left"/>
            </w:pPr>
            <w:r>
              <w:rPr>
                <w:rFonts w:ascii="Calibri" w:hAnsi="Calibri"/>
                <w:color w:val="0A0A0A"/>
                <w:sz w:val="19"/>
              </w:rPr>
              <w:t>B2B2G priority #2</w:t>
            </w:r>
          </w:p>
        </w:tc>
        <w:tc>
          <w:tcPr>
            <w:tcW w:type="dxa" w:w="2592"/>
            <w:shd w:val="clear" w:color="auto" w:fill="F0F4F0"/>
            <w:vAlign w:val="center"/>
          </w:tcPr>
          <w:p>
            <w:pPr>
              <w:jc w:val="left"/>
            </w:pPr>
            <w:r>
              <w:rPr>
                <w:rFonts w:ascii="Calibri" w:hAnsi="Calibri"/>
                <w:color w:val="0A0A0A"/>
                <w:sz w:val="19"/>
              </w:rPr>
              <w:t>Anduril</w:t>
            </w:r>
          </w:p>
        </w:tc>
        <w:tc>
          <w:tcPr>
            <w:tcW w:type="dxa" w:w="4464"/>
            <w:shd w:val="clear" w:color="auto" w:fill="F0F4F0"/>
            <w:vAlign w:val="center"/>
          </w:tcPr>
          <w:p>
            <w:pPr>
              <w:jc w:val="left"/>
            </w:pPr>
            <w:r>
              <w:rPr>
                <w:rFonts w:ascii="Calibri" w:hAnsi="Calibri"/>
                <w:color w:val="0A0A0A"/>
                <w:sz w:val="19"/>
              </w:rPr>
              <w:t>$20B+ valuation, Lattice OS</w:t>
            </w:r>
          </w:p>
        </w:tc>
      </w:tr>
      <w:tr>
        <w:tc>
          <w:tcPr>
            <w:tcW w:type="dxa" w:w="4032"/>
            <w:vAlign w:val="center"/>
          </w:tcPr>
          <w:p>
            <w:pPr>
              <w:jc w:val="left"/>
            </w:pPr>
            <w:r>
              <w:rPr>
                <w:rFonts w:ascii="Calibri" w:hAnsi="Calibri"/>
                <w:color w:val="0A0A0A"/>
                <w:sz w:val="19"/>
              </w:rPr>
              <w:t>Nearest indirect competitor</w:t>
            </w:r>
          </w:p>
        </w:tc>
        <w:tc>
          <w:tcPr>
            <w:tcW w:type="dxa" w:w="2592"/>
            <w:vAlign w:val="center"/>
          </w:tcPr>
          <w:p>
            <w:pPr>
              <w:jc w:val="left"/>
            </w:pPr>
            <w:r>
              <w:rPr>
                <w:rFonts w:ascii="Calibri" w:hAnsi="Calibri"/>
                <w:color w:val="0A0A0A"/>
                <w:sz w:val="19"/>
              </w:rPr>
              <w:t>Windlift</w:t>
            </w:r>
          </w:p>
        </w:tc>
        <w:tc>
          <w:tcPr>
            <w:tcW w:type="dxa" w:w="4464"/>
            <w:vAlign w:val="center"/>
          </w:tcPr>
          <w:p>
            <w:pPr>
              <w:jc w:val="left"/>
            </w:pPr>
            <w:r>
              <w:rPr>
                <w:rFonts w:ascii="Calibri" w:hAnsi="Calibri"/>
                <w:color w:val="0A0A0A"/>
                <w:sz w:val="19"/>
              </w:rPr>
              <w:t>$24M DoD, wind-based (not power line)</w:t>
            </w:r>
          </w:p>
        </w:tc>
      </w:tr>
      <w:tr>
        <w:tc>
          <w:tcPr>
            <w:tcW w:type="dxa" w:w="4032"/>
            <w:shd w:val="clear" w:color="auto" w:fill="F0F4F0"/>
            <w:vAlign w:val="center"/>
          </w:tcPr>
          <w:p>
            <w:pPr>
              <w:jc w:val="left"/>
            </w:pPr>
            <w:r>
              <w:rPr>
                <w:rFonts w:ascii="Calibri" w:hAnsi="Calibri"/>
                <w:color w:val="0A0A0A"/>
                <w:sz w:val="19"/>
              </w:rPr>
              <w:t>Defense tech VC investment (2026)</w:t>
            </w:r>
          </w:p>
        </w:tc>
        <w:tc>
          <w:tcPr>
            <w:tcW w:type="dxa" w:w="2592"/>
            <w:shd w:val="clear" w:color="auto" w:fill="F0F4F0"/>
            <w:vAlign w:val="center"/>
          </w:tcPr>
          <w:p>
            <w:pPr>
              <w:jc w:val="left"/>
            </w:pPr>
            <w:r>
              <w:rPr>
                <w:rFonts w:ascii="Calibri" w:hAnsi="Calibri"/>
                <w:color w:val="0A0A0A"/>
                <w:sz w:val="19"/>
              </w:rPr>
              <w:t>$14.6B (Jan–May)</w:t>
            </w:r>
          </w:p>
        </w:tc>
        <w:tc>
          <w:tcPr>
            <w:tcW w:type="dxa" w:w="4464"/>
            <w:shd w:val="clear" w:color="auto" w:fill="F0F4F0"/>
            <w:vAlign w:val="center"/>
          </w:tcPr>
          <w:p>
            <w:pPr>
              <w:jc w:val="left"/>
            </w:pPr>
            <w:r>
              <w:rPr>
                <w:rFonts w:ascii="Calibri" w:hAnsi="Calibri"/>
                <w:color w:val="0A0A0A"/>
                <w:sz w:val="19"/>
              </w:rPr>
              <w:t>Record pace — TechTimes June 2026</w:t>
            </w:r>
          </w:p>
        </w:tc>
      </w:tr>
      <w:tr>
        <w:tc>
          <w:tcPr>
            <w:tcW w:type="dxa" w:w="4032"/>
            <w:vAlign w:val="center"/>
          </w:tcPr>
          <w:p>
            <w:pPr>
              <w:jc w:val="left"/>
            </w:pPr>
            <w:r>
              <w:rPr>
                <w:rFonts w:ascii="Calibri" w:hAnsi="Calibri"/>
                <w:color w:val="0A0A0A"/>
                <w:sz w:val="19"/>
              </w:rPr>
              <w:t>SBIR Army entry point</w:t>
            </w:r>
          </w:p>
        </w:tc>
        <w:tc>
          <w:tcPr>
            <w:tcW w:type="dxa" w:w="2592"/>
            <w:vAlign w:val="center"/>
          </w:tcPr>
          <w:p>
            <w:pPr>
              <w:jc w:val="left"/>
            </w:pPr>
            <w:r>
              <w:rPr>
                <w:rFonts w:ascii="Calibri" w:hAnsi="Calibri"/>
                <w:color w:val="0A0A0A"/>
                <w:sz w:val="19"/>
              </w:rPr>
              <w:t>$250K Phase I</w:t>
            </w:r>
          </w:p>
        </w:tc>
        <w:tc>
          <w:tcPr>
            <w:tcW w:type="dxa" w:w="4464"/>
            <w:vAlign w:val="center"/>
          </w:tcPr>
          <w:p>
            <w:pPr>
              <w:jc w:val="left"/>
            </w:pPr>
            <w:r>
              <w:rPr>
                <w:rFonts w:ascii="Calibri" w:hAnsi="Calibri"/>
                <w:color w:val="0A0A0A"/>
                <w:sz w:val="19"/>
              </w:rPr>
              <w:t>Open RFP for power solutions</w:t>
            </w:r>
          </w:p>
        </w:tc>
      </w:tr>
      <w:tr>
        <w:tc>
          <w:tcPr>
            <w:tcW w:type="dxa" w:w="4032"/>
            <w:shd w:val="clear" w:color="auto" w:fill="F0F4F0"/>
            <w:vAlign w:val="center"/>
          </w:tcPr>
          <w:p>
            <w:pPr>
              <w:jc w:val="left"/>
            </w:pPr>
            <w:r>
              <w:rPr>
                <w:rFonts w:ascii="Calibri" w:hAnsi="Calibri"/>
                <w:color w:val="0A0A0A"/>
                <w:sz w:val="19"/>
              </w:rPr>
              <w:t>SBIR SOCOM entry point</w:t>
            </w:r>
          </w:p>
        </w:tc>
        <w:tc>
          <w:tcPr>
            <w:tcW w:type="dxa" w:w="2592"/>
            <w:shd w:val="clear" w:color="auto" w:fill="F0F4F0"/>
            <w:vAlign w:val="center"/>
          </w:tcPr>
          <w:p>
            <w:pPr>
              <w:jc w:val="left"/>
            </w:pPr>
            <w:r>
              <w:rPr>
                <w:rFonts w:ascii="Calibri" w:hAnsi="Calibri"/>
                <w:color w:val="0A0A0A"/>
                <w:sz w:val="19"/>
              </w:rPr>
              <w:t>$150K Phase I</w:t>
            </w:r>
          </w:p>
        </w:tc>
        <w:tc>
          <w:tcPr>
            <w:tcW w:type="dxa" w:w="4464"/>
            <w:shd w:val="clear" w:color="auto" w:fill="F0F4F0"/>
            <w:vAlign w:val="center"/>
          </w:tcPr>
          <w:p>
            <w:pPr>
              <w:jc w:val="left"/>
            </w:pPr>
            <w:r>
              <w:rPr>
                <w:rFonts w:ascii="Calibri" w:hAnsi="Calibri"/>
                <w:color w:val="0A0A0A"/>
                <w:sz w:val="19"/>
              </w:rPr>
              <w:t>Faster; own acquisition authority</w:t>
            </w:r>
          </w:p>
        </w:tc>
      </w:tr>
      <w:tr>
        <w:tc>
          <w:tcPr>
            <w:tcW w:type="dxa" w:w="4032"/>
            <w:vAlign w:val="center"/>
          </w:tcPr>
          <w:p>
            <w:pPr>
              <w:jc w:val="left"/>
            </w:pPr>
            <w:r>
              <w:rPr>
                <w:rFonts w:ascii="Calibri" w:hAnsi="Calibri"/>
                <w:color w:val="0A0A0A"/>
                <w:sz w:val="19"/>
              </w:rPr>
              <w:t>B2B2G time to first contract</w:t>
            </w:r>
          </w:p>
        </w:tc>
        <w:tc>
          <w:tcPr>
            <w:tcW w:type="dxa" w:w="2592"/>
            <w:vAlign w:val="center"/>
          </w:tcPr>
          <w:p>
            <w:pPr>
              <w:jc w:val="left"/>
            </w:pPr>
            <w:r>
              <w:rPr>
                <w:rFonts w:ascii="Calibri" w:hAnsi="Calibri"/>
                <w:color w:val="0A0A0A"/>
                <w:sz w:val="19"/>
              </w:rPr>
              <w:t>3–9 months</w:t>
            </w:r>
          </w:p>
        </w:tc>
        <w:tc>
          <w:tcPr>
            <w:tcW w:type="dxa" w:w="4464"/>
            <w:vAlign w:val="center"/>
          </w:tcPr>
          <w:p>
            <w:pPr>
              <w:jc w:val="left"/>
            </w:pPr>
            <w:r>
              <w:rPr>
                <w:rFonts w:ascii="Calibri" w:hAnsi="Calibri"/>
                <w:color w:val="0A0A0A"/>
                <w:sz w:val="19"/>
              </w:rPr>
              <w:t>vs. 18–36 months direct to DoD</w:t>
            </w:r>
          </w:p>
        </w:tc>
      </w:tr>
    </w:tbl>
    <w:p/>
    <w:p>
      <w:pPr>
        <w:spacing w:before="240" w:after="60"/>
      </w:pPr>
      <w:r>
        <w:rPr>
          <w:rFonts w:ascii="Calibri" w:hAnsi="Calibri"/>
          <w:b/>
          <w:color w:val="1A1A2E"/>
          <w:sz w:val="24"/>
        </w:rPr>
        <w:t>7.3 Recommended Actions — Priority Order</w:t>
      </w:r>
    </w:p>
    <w:p>
      <w:pPr>
        <w:pStyle w:val="ListBullet"/>
        <w:spacing w:after="60"/>
        <w:ind w:left="432"/>
      </w:pPr>
      <w:r>
        <w:rPr>
          <w:rFonts w:ascii="Calibri" w:hAnsi="Calibri"/>
          <w:b/>
          <w:color w:val="C0392B"/>
          <w:sz w:val="21"/>
        </w:rPr>
        <w:t>1. File IP now</w:t>
      </w:r>
    </w:p>
    <w:p>
      <w:pPr>
        <w:spacing w:after="40"/>
      </w:pPr>
      <w:r>
        <w:rPr>
          <w:rFonts w:ascii="Calibri" w:hAnsi="Calibri"/>
          <w:color w:val="0A0A0A"/>
          <w:sz w:val="21"/>
        </w:rPr>
        <w:t xml:space="preserve">    Patent the perching mechanism, energy harvesting method, tether delivery system, and autonomous line identification. Do this before any external conversation.</w:t>
      </w:r>
    </w:p>
    <w:p>
      <w:pPr>
        <w:pStyle w:val="ListBullet"/>
        <w:spacing w:after="60"/>
        <w:ind w:left="432"/>
      </w:pPr>
      <w:r>
        <w:rPr>
          <w:rFonts w:ascii="Calibri" w:hAnsi="Calibri"/>
          <w:b/>
          <w:color w:val="D47E0F"/>
          <w:sz w:val="21"/>
        </w:rPr>
        <w:t>2. Contact Chariot Defense under NDA</w:t>
      </w:r>
    </w:p>
    <w:p>
      <w:pPr>
        <w:spacing w:after="40"/>
      </w:pPr>
      <w:r>
        <w:rPr>
          <w:rFonts w:ascii="Calibri" w:hAnsi="Calibri"/>
          <w:color w:val="0A0A0A"/>
          <w:sz w:val="21"/>
        </w:rPr>
        <w:t xml:space="preserve">    They are the single most natural partner — $41M funded, a16z-backed, Army contracts active, and they have no power source for their Amphora distribution system. Fastest path to revenue.</w:t>
      </w:r>
    </w:p>
    <w:p>
      <w:pPr>
        <w:pStyle w:val="ListBullet"/>
        <w:spacing w:after="60"/>
        <w:ind w:left="432"/>
      </w:pPr>
      <w:r>
        <w:rPr>
          <w:rFonts w:ascii="Calibri" w:hAnsi="Calibri"/>
          <w:b/>
          <w:color w:val="D47E0F"/>
          <w:sz w:val="21"/>
        </w:rPr>
        <w:t>3. Submit Army SBIR Phase I ($250K)</w:t>
      </w:r>
    </w:p>
    <w:p>
      <w:pPr>
        <w:spacing w:after="40"/>
      </w:pPr>
      <w:r>
        <w:rPr>
          <w:rFonts w:ascii="Calibri" w:hAnsi="Calibri"/>
          <w:color w:val="0A0A0A"/>
          <w:sz w:val="21"/>
        </w:rPr>
        <w:t xml:space="preserve">    Army has an open RFP for military power solutions. Run this in parallel with Chariot conversation.</w:t>
      </w:r>
    </w:p>
    <w:p>
      <w:pPr>
        <w:pStyle w:val="ListBullet"/>
        <w:spacing w:after="60"/>
        <w:ind w:left="432"/>
      </w:pPr>
      <w:r>
        <w:rPr>
          <w:rFonts w:ascii="Calibri" w:hAnsi="Calibri"/>
          <w:b/>
          <w:color w:val="D47E0F"/>
          <w:sz w:val="21"/>
        </w:rPr>
        <w:t>4. Submit SOCOM SBIR Phase I ($150K)</w:t>
      </w:r>
    </w:p>
    <w:p>
      <w:pPr>
        <w:spacing w:after="40"/>
      </w:pPr>
      <w:r>
        <w:rPr>
          <w:rFonts w:ascii="Calibri" w:hAnsi="Calibri"/>
          <w:color w:val="0A0A0A"/>
          <w:sz w:val="21"/>
        </w:rPr>
        <w:t xml:space="preserve">    Run simultaneously with Army SBIR. Engage SOFWERX directly in Tampa for accelerated access.</w:t>
      </w:r>
    </w:p>
    <w:p>
      <w:pPr>
        <w:pStyle w:val="ListBullet"/>
        <w:spacing w:after="60"/>
        <w:ind w:left="432"/>
      </w:pPr>
      <w:r>
        <w:rPr>
          <w:rFonts w:ascii="Calibri" w:hAnsi="Calibri"/>
          <w:b/>
          <w:color w:val="1A4A7A"/>
          <w:sz w:val="21"/>
        </w:rPr>
        <w:t>5. Engage DIU (Defense Innovation Unit)</w:t>
      </w:r>
    </w:p>
    <w:p>
      <w:pPr>
        <w:spacing w:after="40"/>
      </w:pPr>
      <w:r>
        <w:rPr>
          <w:rFonts w:ascii="Calibri" w:hAnsi="Calibri"/>
          <w:color w:val="0A0A0A"/>
          <w:sz w:val="21"/>
        </w:rPr>
        <w:t xml:space="preserve">    DIU bridges commercial tech and DoD without SBIR process. Good parallel track for rapid pilot.</w:t>
      </w:r>
    </w:p>
    <w:p>
      <w:pPr>
        <w:pStyle w:val="ListBullet"/>
        <w:spacing w:after="60"/>
        <w:ind w:left="432"/>
      </w:pPr>
      <w:r>
        <w:rPr>
          <w:rFonts w:ascii="Calibri" w:hAnsi="Calibri"/>
          <w:b/>
          <w:color w:val="1A4A7A"/>
          <w:sz w:val="21"/>
        </w:rPr>
        <w:t>6. Expand B2B2G to Anduril and Shield AI</w:t>
      </w:r>
    </w:p>
    <w:p>
      <w:pPr>
        <w:spacing w:after="40"/>
      </w:pPr>
      <w:r>
        <w:rPr>
          <w:rFonts w:ascii="Calibri" w:hAnsi="Calibri"/>
          <w:color w:val="0A0A0A"/>
          <w:sz w:val="21"/>
        </w:rPr>
        <w:t xml:space="preserve">    After Chariot partnership is secured, approach Anduril and Shield AI as the next integration targets.</w:t>
      </w:r>
    </w:p>
    <w:p>
      <w:pPr>
        <w:spacing w:before="120" w:after="120"/>
        <w:ind w:left="432" w:right="432"/>
        <w:pBdr>
          <w:top w:val="single" w:sz="12" w:space="4" w:color="D4810F"/>
          <w:bottom w:val="single" w:sz="12" w:space="4" w:color="D4810F"/>
          <w:left w:val="single" w:sz="12" w:space="4" w:color="D4810F"/>
          <w:right w:val="single" w:sz="12" w:space="4" w:color="D4810F"/>
        </w:pBdr>
      </w:pPr>
      <w:r>
        <w:rPr>
          <w:rFonts w:ascii="Calibri" w:hAnsi="Calibri"/>
          <w:i/>
          <w:color w:val="0A0A0A"/>
          <w:sz w:val="21"/>
        </w:rPr>
        <w:t>BOTTOM LINE:  The DoD has a $20B+ annual energy problem with no current solution for autonomous power line tapping. Chariot Defense just raised $41M to distribute power — but they have no source. Chargebotic is the source. File IP today. Call Chariot tomorrow. Run SBIR in parallel. The white space is real and the window is open.</w:t>
      </w:r>
    </w:p>
    <w:p/>
    <w:p>
      <w:pPr>
        <w:jc w:val="center"/>
        <w:pBdr>
          <w:bottom w:val="single" w:sz="4" w:space="1" w:color="D4810F"/>
        </w:pBdr>
      </w:pPr>
      <w:r>
        <w:rPr>
          <w:rFonts w:ascii="Calibri" w:hAnsi="Calibri"/>
          <w:i/>
          <w:color w:val="555555"/>
          <w:sz w:val="18"/>
        </w:rPr>
        <w:t>Chargebotic  ·  anis@chargebotic.com  ·  chargebotic.com  ·  Confidential — June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